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3046F">
      <w:pPr>
        <w:adjustRightInd w:val="0"/>
        <w:snapToGrid w:val="0"/>
        <w:spacing w:after="0" w:line="560" w:lineRule="exact"/>
        <w:rPr>
          <w:rFonts w:eastAsia="黑体"/>
          <w:snapToGrid w:val="0"/>
          <w:sz w:val="32"/>
          <w:szCs w:val="32"/>
        </w:rPr>
      </w:pPr>
      <w:r>
        <w:rPr>
          <w:rFonts w:eastAsia="黑体"/>
          <w:snapToGrid w:val="0"/>
          <w:sz w:val="32"/>
          <w:szCs w:val="32"/>
        </w:rPr>
        <w:t>附件</w:t>
      </w:r>
      <w:r>
        <w:rPr>
          <w:rFonts w:hint="eastAsia" w:eastAsia="黑体"/>
          <w:snapToGrid w:val="0"/>
          <w:sz w:val="32"/>
          <w:szCs w:val="32"/>
        </w:rPr>
        <w:t>1</w:t>
      </w:r>
    </w:p>
    <w:p w14:paraId="03AA19FC">
      <w:pPr>
        <w:pStyle w:val="2"/>
        <w:ind w:firstLine="640"/>
      </w:pPr>
    </w:p>
    <w:p w14:paraId="136E7C36">
      <w:pPr>
        <w:adjustRightInd w:val="0"/>
        <w:snapToGrid w:val="0"/>
        <w:spacing w:after="0" w:line="600" w:lineRule="exact"/>
        <w:jc w:val="center"/>
        <w:rPr>
          <w:rFonts w:eastAsia="方正小标宋简体"/>
          <w:sz w:val="44"/>
          <w:szCs w:val="44"/>
          <w14:ligatures w14:val="standardContextual"/>
        </w:rPr>
      </w:pPr>
      <w:r>
        <w:rPr>
          <w:rFonts w:eastAsia="方正小标宋简体"/>
          <w:sz w:val="44"/>
          <w:szCs w:val="44"/>
          <w14:ligatures w14:val="standardContextual"/>
        </w:rPr>
        <w:t>2026年度棉花国创中心科研项目申报指南</w:t>
      </w:r>
    </w:p>
    <w:p w14:paraId="620C12BF">
      <w:pPr>
        <w:pStyle w:val="2"/>
        <w:adjustRightInd w:val="0"/>
        <w:snapToGrid w:val="0"/>
        <w:spacing w:line="560" w:lineRule="exact"/>
        <w:ind w:left="0" w:leftChars="0" w:firstLine="0" w:firstLineChars="0"/>
        <w:jc w:val="center"/>
        <w:rPr>
          <w:rFonts w:ascii="Times New Roman" w:eastAsia="楷体_GB2312"/>
          <w:b/>
          <w:color w:val="auto"/>
        </w:rPr>
      </w:pPr>
      <w:r>
        <w:rPr>
          <w:rFonts w:ascii="Times New Roman" w:eastAsia="楷体_GB2312"/>
          <w:b/>
          <w:color w:val="auto"/>
        </w:rPr>
        <w:t>（任务导向型项目）</w:t>
      </w:r>
    </w:p>
    <w:p w14:paraId="24FA7A8D">
      <w:pPr>
        <w:adjustRightInd w:val="0"/>
        <w:snapToGrid w:val="0"/>
        <w:spacing w:after="0" w:line="560" w:lineRule="exact"/>
        <w:ind w:firstLine="640" w:firstLineChars="200"/>
        <w:rPr>
          <w:rFonts w:eastAsia="黑体"/>
          <w:bCs/>
          <w:kern w:val="0"/>
          <w:sz w:val="32"/>
          <w:szCs w:val="28"/>
        </w:rPr>
      </w:pPr>
      <w:r>
        <w:rPr>
          <w:rFonts w:eastAsia="黑体"/>
          <w:bCs/>
          <w:kern w:val="0"/>
          <w:sz w:val="32"/>
          <w:szCs w:val="28"/>
        </w:rPr>
        <w:t>一、棉花生物育种</w:t>
      </w:r>
    </w:p>
    <w:p w14:paraId="60C1BFFE">
      <w:pPr>
        <w:adjustRightInd w:val="0"/>
        <w:snapToGrid w:val="0"/>
        <w:spacing w:after="0" w:line="560" w:lineRule="exact"/>
        <w:ind w:firstLine="640" w:firstLineChars="200"/>
        <w:rPr>
          <w:rFonts w:eastAsia="楷体_GB2312"/>
          <w:bCs/>
          <w:kern w:val="0"/>
          <w:sz w:val="32"/>
          <w:szCs w:val="28"/>
        </w:rPr>
      </w:pPr>
      <w:bookmarkStart w:id="0" w:name="_Toc236745419"/>
      <w:r>
        <w:rPr>
          <w:rFonts w:eastAsia="楷体_GB2312"/>
          <w:bCs/>
          <w:kern w:val="0"/>
          <w:sz w:val="32"/>
          <w:szCs w:val="28"/>
        </w:rPr>
        <w:t>（一）棉花种质资源精准鉴定与评价</w:t>
      </w:r>
      <w:bookmarkEnd w:id="0"/>
      <w:r>
        <w:rPr>
          <w:rFonts w:eastAsia="楷体_GB2312"/>
          <w:bCs/>
          <w:kern w:val="0"/>
          <w:sz w:val="32"/>
          <w:szCs w:val="28"/>
        </w:rPr>
        <w:t>（重大科技</w:t>
      </w:r>
      <w:r>
        <w:rPr>
          <w:rFonts w:hint="eastAsia" w:eastAsia="楷体_GB2312"/>
          <w:bCs/>
          <w:kern w:val="0"/>
          <w:sz w:val="32"/>
          <w:szCs w:val="28"/>
          <w:lang w:eastAsia="zh-CN"/>
        </w:rPr>
        <w:t>创新计划</w:t>
      </w:r>
      <w:r>
        <w:rPr>
          <w:rFonts w:eastAsia="楷体_GB2312"/>
          <w:bCs/>
          <w:kern w:val="0"/>
          <w:sz w:val="32"/>
          <w:szCs w:val="28"/>
        </w:rPr>
        <w:t>项目）</w:t>
      </w:r>
    </w:p>
    <w:p w14:paraId="099CAD7C">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研究内容一：精准高效表型评价与精准鉴定。</w:t>
      </w:r>
      <w:r>
        <w:rPr>
          <w:rFonts w:hint="eastAsia" w:eastAsia="仿宋_GB2312"/>
          <w:sz w:val="32"/>
          <w:szCs w:val="32"/>
        </w:rPr>
        <w:t>系统开展棉花种质资源的收集、保存。研发集成“装备采集+算法分析+数据处理”功能的表型精准鉴定分析平台，开展种质资源高产、优质、抗旱、耐极端温度、耐盐碱等农艺性状精准鉴定。搭建种质资源共享服务平台。</w:t>
      </w:r>
    </w:p>
    <w:p w14:paraId="61C94572">
      <w:pPr>
        <w:adjustRightInd w:val="0"/>
        <w:snapToGrid w:val="0"/>
        <w:spacing w:after="0" w:line="560" w:lineRule="exact"/>
        <w:ind w:firstLine="643" w:firstLineChars="200"/>
        <w:rPr>
          <w:rFonts w:eastAsia="仿宋_GB2312"/>
          <w:b/>
          <w:bCs/>
          <w:sz w:val="32"/>
          <w:szCs w:val="32"/>
        </w:rPr>
      </w:pPr>
      <w:r>
        <w:rPr>
          <w:rFonts w:eastAsia="仿宋_GB2312"/>
          <w:b/>
          <w:bCs/>
          <w:sz w:val="32"/>
          <w:szCs w:val="32"/>
        </w:rPr>
        <w:t>考核指标：</w:t>
      </w:r>
      <w:r>
        <w:rPr>
          <w:rFonts w:hint="eastAsia" w:eastAsia="仿宋_GB2312"/>
          <w:sz w:val="32"/>
          <w:szCs w:val="32"/>
        </w:rPr>
        <w:t>新收集、保存棉花种质资源1000份以上。开发具备智能分析和可视化展示功能的表型大数据处理系统1套，建立自动化、高通量的棉花种质资源鉴定平台1个，精准鉴定种质资源3000份。搭建共享服务平台1个。</w:t>
      </w:r>
    </w:p>
    <w:p w14:paraId="08840153">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研究内容二：优异农艺性状基因和基因型精准鉴定。</w:t>
      </w:r>
      <w:r>
        <w:rPr>
          <w:rFonts w:hint="eastAsia" w:eastAsia="仿宋_GB2312"/>
          <w:sz w:val="32"/>
          <w:szCs w:val="32"/>
        </w:rPr>
        <w:t>挖掘棉花产量、品质、抗病、抗逆等重要农艺性状基因，明确基因功能及应用价值。解析核心种质目标性状形成和演化特征、规律和机理。构建和完善规模化基因挖掘方法和功能验证技术体系。</w:t>
      </w:r>
    </w:p>
    <w:p w14:paraId="2ECF5D3F">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鉴定优异新基因30个，其中具有自主知识产权、重要应用价值的功能基因2-3个。解析核心种质数量50份。构建体系1套。</w:t>
      </w:r>
    </w:p>
    <w:p w14:paraId="2381054D">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研究内容三：</w:t>
      </w:r>
      <w:r>
        <w:rPr>
          <w:rFonts w:hint="eastAsia" w:eastAsia="仿宋_GB2312"/>
          <w:b/>
          <w:bCs/>
          <w:sz w:val="32"/>
          <w:szCs w:val="32"/>
        </w:rPr>
        <w:t>基于现代生物技术的棉花优异种质创制。</w:t>
      </w:r>
      <w:r>
        <w:rPr>
          <w:rFonts w:hint="eastAsia" w:eastAsia="仿宋_GB2312"/>
          <w:sz w:val="32"/>
          <w:szCs w:val="32"/>
        </w:rPr>
        <w:t>通过远缘杂交、诱变、基因编辑、分子辅助选择等方式，创制高产、优质、抗逆等种质材料。</w:t>
      </w:r>
    </w:p>
    <w:p w14:paraId="4D5190AE">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创制种质45份以上。其中，高产种质8-10份，12000株/亩密度下，单株结铃数10-12个、单铃重≥6.5克、衣分≥46%。优异纤维品质种质10-15份，陆地型长绒棉纤维长度≥35.0mm、比强度≥37.0cN/tex、马克隆值3.7-4.2；优质中长绒棉纤维长度≥33.0mm、比强度≥34.0cN/tex、马克隆值3.7-4.2。抗病种质6-8份，高抗枯萎病（病指≤5.0）、抗黄萎病（病指≤20.0）。抗逆（抗旱、耐盐碱、耐极端温度）种质8-10份，自封顶新材料5-8份，其他优异性状种质8-10份。</w:t>
      </w:r>
    </w:p>
    <w:p w14:paraId="6BEA50B4">
      <w:pPr>
        <w:adjustRightInd w:val="0"/>
        <w:snapToGrid w:val="0"/>
        <w:spacing w:after="0" w:line="560" w:lineRule="exact"/>
        <w:ind w:firstLine="640" w:firstLineChars="200"/>
        <w:rPr>
          <w:rFonts w:eastAsia="楷体_GB2312"/>
          <w:bCs/>
          <w:kern w:val="0"/>
          <w:sz w:val="32"/>
          <w:szCs w:val="28"/>
        </w:rPr>
      </w:pPr>
      <w:bookmarkStart w:id="1" w:name="_Toc236745420"/>
      <w:r>
        <w:rPr>
          <w:rFonts w:eastAsia="楷体_GB2312"/>
          <w:bCs/>
          <w:kern w:val="0"/>
          <w:sz w:val="32"/>
          <w:szCs w:val="28"/>
        </w:rPr>
        <w:t>（二）</w:t>
      </w:r>
      <w:bookmarkEnd w:id="1"/>
      <w:r>
        <w:rPr>
          <w:rFonts w:hint="eastAsia" w:eastAsia="楷体_GB2312"/>
          <w:bCs/>
          <w:kern w:val="0"/>
          <w:sz w:val="32"/>
          <w:szCs w:val="28"/>
        </w:rPr>
        <w:t>棉花基因编辑技术与规模化突变体材料创制（重大科技</w:t>
      </w:r>
      <w:r>
        <w:rPr>
          <w:rFonts w:hint="eastAsia" w:eastAsia="楷体_GB2312"/>
          <w:bCs/>
          <w:kern w:val="0"/>
          <w:sz w:val="32"/>
          <w:szCs w:val="28"/>
          <w:lang w:eastAsia="zh-CN"/>
        </w:rPr>
        <w:t>创新计划</w:t>
      </w:r>
      <w:r>
        <w:rPr>
          <w:rFonts w:hint="eastAsia" w:eastAsia="楷体_GB2312"/>
          <w:bCs/>
          <w:kern w:val="0"/>
          <w:sz w:val="32"/>
          <w:szCs w:val="28"/>
        </w:rPr>
        <w:t>项目）</w:t>
      </w:r>
    </w:p>
    <w:p w14:paraId="72EBD637">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研究内容一：</w:t>
      </w:r>
      <w:r>
        <w:rPr>
          <w:rFonts w:hint="eastAsia" w:eastAsia="仿宋_GB2312"/>
          <w:b/>
          <w:bCs/>
          <w:sz w:val="32"/>
          <w:szCs w:val="32"/>
        </w:rPr>
        <w:t>可稳定遗传优异基因编辑技术体系建立。</w:t>
      </w:r>
      <w:r>
        <w:rPr>
          <w:rFonts w:hint="eastAsia" w:eastAsia="仿宋_GB2312"/>
          <w:sz w:val="32"/>
          <w:szCs w:val="32"/>
        </w:rPr>
        <w:t>依托AI辅助设计平台，定向筛选、改造新型Cas蛋白、变异编辑酶及引导编辑核心元件，研发高活性、高特异性的大分子编辑酶及系列衍生基因编辑工具。研究多基因同步编辑技术，耦合组织特异性启动子与外源诱导调控元件，搭建可调控、可稳定遗传的诱导型基因编辑表达系统。</w:t>
      </w:r>
    </w:p>
    <w:p w14:paraId="44962907">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开发新型基因编辑工具3-5个，构建多基因编辑技术体系3项，申报发明专利6项。建立可稳定遗传的诱导型基因编辑体系1套。</w:t>
      </w:r>
    </w:p>
    <w:p w14:paraId="0181DBAD">
      <w:pPr>
        <w:adjustRightInd w:val="0"/>
        <w:snapToGrid w:val="0"/>
        <w:spacing w:after="0" w:line="560" w:lineRule="exact"/>
        <w:ind w:firstLine="643" w:firstLineChars="200"/>
        <w:rPr>
          <w:rFonts w:eastAsia="仿宋_GB2312"/>
          <w:sz w:val="32"/>
          <w:szCs w:val="22"/>
        </w:rPr>
      </w:pPr>
      <w:r>
        <w:rPr>
          <w:rFonts w:eastAsia="仿宋_GB2312"/>
          <w:b/>
          <w:bCs/>
          <w:sz w:val="32"/>
          <w:szCs w:val="32"/>
        </w:rPr>
        <w:t>研究内容二：</w:t>
      </w:r>
      <w:r>
        <w:rPr>
          <w:rFonts w:hint="eastAsia" w:eastAsia="仿宋_GB2312"/>
          <w:b/>
          <w:bCs/>
          <w:sz w:val="32"/>
          <w:szCs w:val="32"/>
        </w:rPr>
        <w:t>新疆主栽品种高效基因编辑技术体系研究。</w:t>
      </w:r>
      <w:r>
        <w:rPr>
          <w:rFonts w:hint="eastAsia" w:eastAsia="仿宋_GB2312"/>
          <w:sz w:val="32"/>
          <w:szCs w:val="32"/>
        </w:rPr>
        <w:t>构建新疆主栽棉花品种的高效转化与基因编辑高通量筛选检测技术体系。搭建高通量、低成本的基因编辑检测平台，整合靶点智能预测、突变体自动化识别、遗传稳定性验证技术，建立标准化的基因编辑突变体库高效筛选体系</w:t>
      </w:r>
      <w:r>
        <w:rPr>
          <w:rFonts w:eastAsia="仿宋_GB2312"/>
          <w:sz w:val="32"/>
          <w:szCs w:val="32"/>
        </w:rPr>
        <w:t>。</w:t>
      </w:r>
    </w:p>
    <w:p w14:paraId="4D9AE8E3">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建立新疆主栽品种基因编辑高效筛选和检测技术，申请发明专利3项。建立3-5个主栽品种的高效转化体系，转化效率稳定在8%以上</w:t>
      </w:r>
      <w:r>
        <w:rPr>
          <w:rFonts w:eastAsia="仿宋_GB2312"/>
          <w:sz w:val="32"/>
          <w:szCs w:val="32"/>
        </w:rPr>
        <w:t>。</w:t>
      </w:r>
    </w:p>
    <w:p w14:paraId="439DB3EC">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研究内容三：</w:t>
      </w:r>
      <w:r>
        <w:rPr>
          <w:rFonts w:hint="eastAsia" w:eastAsia="仿宋_GB2312"/>
          <w:b/>
          <w:bCs/>
          <w:sz w:val="32"/>
          <w:szCs w:val="32"/>
        </w:rPr>
        <w:t>基于基因组饱和编辑的棉花优异种质精准创制。</w:t>
      </w:r>
      <w:r>
        <w:rPr>
          <w:rFonts w:hint="eastAsia" w:eastAsia="仿宋_GB2312"/>
          <w:sz w:val="32"/>
          <w:szCs w:val="32"/>
        </w:rPr>
        <w:t>构建“目标性状导向-基因精准编辑-快速筛选验证-快速育种”的核心技术模式，开展棉花基因组饱和编辑，批量精准创制基因编辑新材料，筛选突破性优异新种质。</w:t>
      </w:r>
    </w:p>
    <w:p w14:paraId="407313B9">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创制编辑种质新材料5000份，筛选具有重大育种应用价值的新种质3-5份，申请植物新品种权3-5项</w:t>
      </w:r>
      <w:r>
        <w:rPr>
          <w:rFonts w:eastAsia="仿宋_GB2312"/>
          <w:sz w:val="32"/>
          <w:szCs w:val="32"/>
        </w:rPr>
        <w:t>。</w:t>
      </w:r>
    </w:p>
    <w:p w14:paraId="7DD61889">
      <w:pPr>
        <w:adjustRightInd w:val="0"/>
        <w:snapToGrid w:val="0"/>
        <w:spacing w:after="0" w:line="560" w:lineRule="exact"/>
        <w:ind w:firstLine="640" w:firstLineChars="200"/>
        <w:rPr>
          <w:rFonts w:eastAsia="楷体_GB2312"/>
          <w:bCs/>
          <w:kern w:val="0"/>
          <w:sz w:val="32"/>
          <w:szCs w:val="28"/>
        </w:rPr>
      </w:pPr>
      <w:bookmarkStart w:id="2" w:name="_Toc236745421"/>
      <w:r>
        <w:rPr>
          <w:rFonts w:eastAsia="楷体_GB2312"/>
          <w:bCs/>
          <w:kern w:val="0"/>
          <w:sz w:val="32"/>
          <w:szCs w:val="28"/>
        </w:rPr>
        <w:t>（三）棉花智能育种体系构建与应用</w:t>
      </w:r>
      <w:bookmarkEnd w:id="2"/>
      <w:r>
        <w:rPr>
          <w:rFonts w:eastAsia="楷体_GB2312"/>
          <w:bCs/>
          <w:kern w:val="0"/>
          <w:sz w:val="32"/>
          <w:szCs w:val="28"/>
        </w:rPr>
        <w:t>（重大科技</w:t>
      </w:r>
      <w:r>
        <w:rPr>
          <w:rFonts w:hint="eastAsia" w:eastAsia="楷体_GB2312"/>
          <w:bCs/>
          <w:kern w:val="0"/>
          <w:sz w:val="32"/>
          <w:szCs w:val="28"/>
          <w:lang w:eastAsia="zh-CN"/>
        </w:rPr>
        <w:t>创新计划</w:t>
      </w:r>
      <w:r>
        <w:rPr>
          <w:rFonts w:eastAsia="楷体_GB2312"/>
          <w:bCs/>
          <w:kern w:val="0"/>
          <w:sz w:val="32"/>
          <w:szCs w:val="28"/>
        </w:rPr>
        <w:t>项目）</w:t>
      </w:r>
    </w:p>
    <w:p w14:paraId="60C1C406">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研究内容一：</w:t>
      </w:r>
      <w:r>
        <w:rPr>
          <w:rFonts w:hint="eastAsia" w:eastAsia="仿宋_GB2312"/>
          <w:b/>
          <w:bCs/>
          <w:sz w:val="32"/>
          <w:szCs w:val="32"/>
        </w:rPr>
        <w:t>棉花基因组垂直大模型研发与种质智能创新。</w:t>
      </w:r>
      <w:r>
        <w:rPr>
          <w:rFonts w:hint="eastAsia" w:eastAsia="仿宋_GB2312"/>
          <w:sz w:val="32"/>
          <w:szCs w:val="32"/>
        </w:rPr>
        <w:t>研发棉花基因组垂直大模型，开展育种元件预测、性状关联基因挖掘、表型智能预测等研究。解析骨干品种产量、品质、抗逆等关键性状的形成机制、演化规律与遗传特征。阐明功能位点互作关系与遗传效应，创制多优异性状精准聚合的新种质</w:t>
      </w:r>
      <w:r>
        <w:rPr>
          <w:rFonts w:eastAsia="仿宋_GB2312"/>
          <w:sz w:val="32"/>
          <w:szCs w:val="32"/>
        </w:rPr>
        <w:t>。</w:t>
      </w:r>
    </w:p>
    <w:p w14:paraId="25772351">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构建棉花基因组垂直大模型1-2套，挖掘具有育种利用价值的基因和育种元件3-5个。解析骨干品种2-3个。创制多性状聚合新种质10-15份</w:t>
      </w:r>
      <w:r>
        <w:rPr>
          <w:rFonts w:eastAsia="仿宋_GB2312"/>
          <w:sz w:val="32"/>
          <w:szCs w:val="32"/>
        </w:rPr>
        <w:t>。</w:t>
      </w:r>
    </w:p>
    <w:p w14:paraId="3A9A0E85">
      <w:pPr>
        <w:adjustRightInd w:val="0"/>
        <w:snapToGrid w:val="0"/>
        <w:spacing w:after="0" w:line="560" w:lineRule="exact"/>
        <w:ind w:firstLine="643" w:firstLineChars="200"/>
        <w:rPr>
          <w:rFonts w:eastAsia="仿宋_GB2312"/>
          <w:sz w:val="32"/>
          <w:szCs w:val="32"/>
        </w:rPr>
      </w:pPr>
      <w:bookmarkStart w:id="3" w:name="_Hlk236993937"/>
      <w:r>
        <w:rPr>
          <w:rFonts w:eastAsia="仿宋_GB2312"/>
          <w:b/>
          <w:bCs/>
          <w:sz w:val="32"/>
          <w:szCs w:val="32"/>
        </w:rPr>
        <w:t>研究内容二：</w:t>
      </w:r>
      <w:bookmarkEnd w:id="3"/>
      <w:r>
        <w:rPr>
          <w:rFonts w:hint="eastAsia" w:eastAsia="仿宋_GB2312"/>
          <w:b/>
          <w:bCs/>
          <w:sz w:val="32"/>
          <w:szCs w:val="32"/>
        </w:rPr>
        <w:t>棉花育种智能体</w:t>
      </w:r>
      <w:r>
        <w:rPr>
          <w:rFonts w:eastAsia="仿宋_GB2312"/>
          <w:b/>
          <w:bCs/>
          <w:sz w:val="32"/>
          <w:szCs w:val="32"/>
        </w:rPr>
        <w:t>“AI育种家”</w:t>
      </w:r>
      <w:r>
        <w:rPr>
          <w:rFonts w:hint="eastAsia" w:eastAsia="仿宋_GB2312"/>
          <w:b/>
          <w:bCs/>
          <w:sz w:val="32"/>
          <w:szCs w:val="32"/>
        </w:rPr>
        <w:t>研发与迭代升级</w:t>
      </w:r>
      <w:r>
        <w:rPr>
          <w:rFonts w:eastAsia="仿宋_GB2312"/>
          <w:b/>
          <w:bCs/>
          <w:sz w:val="32"/>
          <w:szCs w:val="32"/>
        </w:rPr>
        <w:t>。</w:t>
      </w:r>
      <w:r>
        <w:rPr>
          <w:rFonts w:hint="eastAsia" w:eastAsia="仿宋_GB2312"/>
          <w:sz w:val="32"/>
          <w:szCs w:val="32"/>
        </w:rPr>
        <w:t>优化多基因聚合方案，建立遗传效应模拟、亲本智能选配、世代推演及逆境预判等核心模块，构建闭环式智能育种决策体系，提升算法精度与区域适配性</w:t>
      </w:r>
      <w:r>
        <w:rPr>
          <w:rFonts w:eastAsia="仿宋_GB2312"/>
          <w:sz w:val="32"/>
          <w:szCs w:val="32"/>
        </w:rPr>
        <w:t>。</w:t>
      </w:r>
    </w:p>
    <w:p w14:paraId="49E4DDCF">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研发、迭代升级人工智能育种智能体1个，育种周期较常规育种缩短1/3；建立棉花全流程智能育种决策体系1套，申报发明专利1项</w:t>
      </w:r>
      <w:r>
        <w:rPr>
          <w:rFonts w:eastAsia="仿宋_GB2312"/>
          <w:sz w:val="32"/>
          <w:szCs w:val="32"/>
        </w:rPr>
        <w:t>。</w:t>
      </w:r>
    </w:p>
    <w:p w14:paraId="0F6056C0">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研究内容三：</w:t>
      </w:r>
      <w:r>
        <w:rPr>
          <w:rFonts w:hint="eastAsia" w:eastAsia="仿宋_GB2312"/>
          <w:b/>
          <w:bCs/>
          <w:sz w:val="32"/>
          <w:szCs w:val="32"/>
        </w:rPr>
        <w:t>棉花智能育种决策体系应用。</w:t>
      </w:r>
      <w:bookmarkStart w:id="4" w:name="_Toc236745427"/>
      <w:r>
        <w:rPr>
          <w:rFonts w:hint="eastAsia" w:eastAsia="仿宋_GB2312"/>
          <w:sz w:val="32"/>
          <w:szCs w:val="32"/>
        </w:rPr>
        <w:t>研发智能育种技术规程、数据标准与应用规范，开展智能设计育种示范与应用</w:t>
      </w:r>
      <w:r>
        <w:rPr>
          <w:rFonts w:eastAsia="仿宋_GB2312"/>
          <w:sz w:val="32"/>
          <w:szCs w:val="32"/>
        </w:rPr>
        <w:t>。</w:t>
      </w:r>
    </w:p>
    <w:p w14:paraId="7B446EF0">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制定智能育种技术规程1项，申报发明专利2-3项，培育新品种（系）2-3个</w:t>
      </w:r>
      <w:r>
        <w:rPr>
          <w:rFonts w:eastAsia="仿宋_GB2312"/>
          <w:sz w:val="32"/>
          <w:szCs w:val="32"/>
        </w:rPr>
        <w:t>。</w:t>
      </w:r>
    </w:p>
    <w:p w14:paraId="1C31B604">
      <w:pPr>
        <w:adjustRightInd w:val="0"/>
        <w:snapToGrid w:val="0"/>
        <w:spacing w:after="0" w:line="560" w:lineRule="exact"/>
        <w:ind w:firstLine="640" w:firstLineChars="200"/>
        <w:rPr>
          <w:rFonts w:eastAsia="楷体_GB2312"/>
          <w:bCs/>
          <w:kern w:val="0"/>
          <w:sz w:val="32"/>
          <w:szCs w:val="28"/>
        </w:rPr>
      </w:pPr>
      <w:r>
        <w:rPr>
          <w:rFonts w:eastAsia="楷体_GB2312"/>
          <w:bCs/>
          <w:kern w:val="0"/>
          <w:sz w:val="32"/>
          <w:szCs w:val="28"/>
        </w:rPr>
        <w:t>（四）</w:t>
      </w:r>
      <w:r>
        <w:rPr>
          <w:rFonts w:hint="eastAsia" w:eastAsia="楷体_GB2312"/>
          <w:bCs/>
          <w:kern w:val="0"/>
          <w:sz w:val="32"/>
          <w:szCs w:val="28"/>
        </w:rPr>
        <w:t>超高产优质棉花新品种选育与配套技术研究及推广</w:t>
      </w:r>
      <w:r>
        <w:rPr>
          <w:rFonts w:eastAsia="楷体_GB2312"/>
          <w:bCs/>
          <w:kern w:val="0"/>
          <w:sz w:val="32"/>
          <w:szCs w:val="28"/>
        </w:rPr>
        <w:t>（重大科技</w:t>
      </w:r>
      <w:r>
        <w:rPr>
          <w:rFonts w:hint="eastAsia" w:eastAsia="楷体_GB2312"/>
          <w:bCs/>
          <w:kern w:val="0"/>
          <w:sz w:val="32"/>
          <w:szCs w:val="28"/>
          <w:lang w:eastAsia="zh-CN"/>
        </w:rPr>
        <w:t>创新计划</w:t>
      </w:r>
      <w:r>
        <w:rPr>
          <w:rFonts w:eastAsia="楷体_GB2312"/>
          <w:bCs/>
          <w:kern w:val="0"/>
          <w:sz w:val="32"/>
          <w:szCs w:val="28"/>
        </w:rPr>
        <w:t>项目）</w:t>
      </w:r>
    </w:p>
    <w:p w14:paraId="5018AD7F">
      <w:pPr>
        <w:adjustRightInd w:val="0"/>
        <w:snapToGrid w:val="0"/>
        <w:spacing w:after="0" w:line="560" w:lineRule="exact"/>
        <w:ind w:firstLine="643" w:firstLineChars="200"/>
        <w:rPr>
          <w:rFonts w:eastAsia="仿宋_GB2312"/>
          <w:b/>
          <w:bCs/>
          <w:sz w:val="32"/>
          <w:szCs w:val="32"/>
        </w:rPr>
      </w:pPr>
      <w:r>
        <w:rPr>
          <w:rFonts w:eastAsia="仿宋_GB2312"/>
          <w:b/>
          <w:bCs/>
          <w:sz w:val="32"/>
          <w:szCs w:val="32"/>
        </w:rPr>
        <w:t>研究内容一：</w:t>
      </w:r>
      <w:r>
        <w:rPr>
          <w:rFonts w:hint="eastAsia" w:eastAsia="仿宋_GB2312"/>
          <w:b/>
          <w:bCs/>
          <w:sz w:val="32"/>
          <w:szCs w:val="32"/>
        </w:rPr>
        <w:t>早熟超高产优质棉花新品种选育。</w:t>
      </w:r>
      <w:r>
        <w:rPr>
          <w:rFonts w:hint="eastAsia" w:eastAsia="仿宋_GB2312"/>
          <w:sz w:val="32"/>
          <w:szCs w:val="32"/>
        </w:rPr>
        <w:t>创制早熟、超高产、优质新种质，选育早熟、超高产、优质新品种。</w:t>
      </w:r>
    </w:p>
    <w:p w14:paraId="45616E74">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创制新种质50份，选育新品种3-5个（新品种皮棉单产较当前主栽品种提高10%以上，绒长≥31mm，比强≥31cN/tex，马克隆值3.7-4.7），申请植物新品种权3-5项。</w:t>
      </w:r>
    </w:p>
    <w:p w14:paraId="73C8D6BB">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研究内容二：</w:t>
      </w:r>
      <w:r>
        <w:rPr>
          <w:rFonts w:hint="eastAsia" w:eastAsia="仿宋_GB2312"/>
          <w:b/>
          <w:bCs/>
          <w:sz w:val="32"/>
          <w:szCs w:val="32"/>
        </w:rPr>
        <w:t>早中熟超高产优质棉花新品种选育。</w:t>
      </w:r>
      <w:r>
        <w:rPr>
          <w:rFonts w:hint="eastAsia" w:eastAsia="仿宋_GB2312"/>
          <w:sz w:val="32"/>
          <w:szCs w:val="32"/>
        </w:rPr>
        <w:t>创制早中熟、超高产、优质新种质，选育早中熟、超高产、优质新品种。</w:t>
      </w:r>
    </w:p>
    <w:p w14:paraId="0AC94C46">
      <w:pPr>
        <w:adjustRightInd w:val="0"/>
        <w:snapToGrid w:val="0"/>
        <w:spacing w:after="0" w:line="560" w:lineRule="exact"/>
        <w:ind w:firstLine="643" w:firstLineChars="200"/>
        <w:rPr>
          <w:rFonts w:eastAsia="仿宋_GB2312"/>
          <w:kern w:val="0"/>
          <w:sz w:val="32"/>
          <w:szCs w:val="32"/>
        </w:rPr>
      </w:pPr>
      <w:r>
        <w:rPr>
          <w:rFonts w:eastAsia="仿宋_GB2312"/>
          <w:b/>
          <w:bCs/>
          <w:kern w:val="0"/>
          <w:sz w:val="32"/>
          <w:szCs w:val="32"/>
        </w:rPr>
        <w:t>考核指标：</w:t>
      </w:r>
      <w:r>
        <w:rPr>
          <w:rFonts w:hint="eastAsia" w:eastAsia="仿宋_GB2312"/>
          <w:kern w:val="0"/>
          <w:sz w:val="32"/>
          <w:szCs w:val="32"/>
        </w:rPr>
        <w:t>创制新种质50份，选育新品种3-5个（新品种皮棉单产较当前主栽品种提高10%以上，绒长≥31mm，比强≥31cN/tex，马克隆值3.7-4.7），申请植物新品种权3-5项。</w:t>
      </w:r>
    </w:p>
    <w:p w14:paraId="260D776F">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研究内容三：</w:t>
      </w:r>
      <w:r>
        <w:rPr>
          <w:rFonts w:hint="eastAsia" w:eastAsia="仿宋_GB2312"/>
          <w:b/>
          <w:bCs/>
          <w:kern w:val="0"/>
          <w:sz w:val="32"/>
          <w:szCs w:val="32"/>
        </w:rPr>
        <w:t>超高产优质棉花高产技术体系创建与示范。</w:t>
      </w:r>
      <w:r>
        <w:rPr>
          <w:rFonts w:hint="eastAsia" w:eastAsia="仿宋_GB2312"/>
          <w:kern w:val="0"/>
          <w:sz w:val="32"/>
          <w:szCs w:val="32"/>
        </w:rPr>
        <w:t>集成优化全程化调塑型、水肥智能一体化、病虫害绿色防控等关键技术，分生态区构建新品种超高产栽培技术体系，开展超高产创建与示范。</w:t>
      </w:r>
    </w:p>
    <w:p w14:paraId="074AC50D">
      <w:pPr>
        <w:adjustRightInd w:val="0"/>
        <w:snapToGrid w:val="0"/>
        <w:spacing w:after="0" w:line="560" w:lineRule="exact"/>
        <w:ind w:firstLine="643" w:firstLineChars="200"/>
        <w:rPr>
          <w:rFonts w:eastAsia="仿宋_GB2312"/>
          <w:kern w:val="0"/>
          <w:sz w:val="32"/>
          <w:szCs w:val="32"/>
        </w:rPr>
      </w:pPr>
      <w:r>
        <w:rPr>
          <w:rFonts w:eastAsia="仿宋_GB2312"/>
          <w:b/>
          <w:bCs/>
          <w:kern w:val="0"/>
          <w:sz w:val="32"/>
          <w:szCs w:val="32"/>
        </w:rPr>
        <w:t>考核指标：</w:t>
      </w:r>
      <w:r>
        <w:rPr>
          <w:rFonts w:hint="eastAsia" w:eastAsia="仿宋_GB2312"/>
          <w:kern w:val="0"/>
          <w:sz w:val="32"/>
          <w:szCs w:val="32"/>
        </w:rPr>
        <w:t>建立与新品种适配的绿色高效超高产栽培技术体系</w:t>
      </w:r>
      <w:r>
        <w:rPr>
          <w:rFonts w:eastAsia="仿宋_GB2312"/>
          <w:kern w:val="0"/>
          <w:sz w:val="32"/>
          <w:szCs w:val="32"/>
        </w:rPr>
        <w:t>2</w:t>
      </w:r>
      <w:r>
        <w:rPr>
          <w:rFonts w:hint="eastAsia" w:eastAsia="仿宋_GB2312"/>
          <w:kern w:val="0"/>
          <w:sz w:val="32"/>
          <w:szCs w:val="32"/>
        </w:rPr>
        <w:t>套，</w:t>
      </w:r>
      <w:r>
        <w:rPr>
          <w:rFonts w:hint="eastAsia" w:eastAsia="仿宋_GB2312"/>
          <w:sz w:val="32"/>
          <w:szCs w:val="32"/>
        </w:rPr>
        <w:t>建立新品种配套高效栽培技术示范区</w:t>
      </w:r>
      <w:r>
        <w:rPr>
          <w:rFonts w:eastAsia="仿宋_GB2312"/>
          <w:sz w:val="32"/>
          <w:szCs w:val="32"/>
        </w:rPr>
        <w:t>1</w:t>
      </w:r>
      <w:r>
        <w:rPr>
          <w:rFonts w:hint="eastAsia" w:eastAsia="仿宋_GB2312"/>
          <w:sz w:val="32"/>
          <w:szCs w:val="32"/>
        </w:rPr>
        <w:t>万亩，示范区超高产新品种千亩方皮棉单产</w:t>
      </w:r>
      <w:r>
        <w:rPr>
          <w:rFonts w:eastAsia="仿宋_GB2312"/>
          <w:sz w:val="32"/>
          <w:szCs w:val="32"/>
        </w:rPr>
        <w:t>300</w:t>
      </w:r>
      <w:r>
        <w:rPr>
          <w:rFonts w:hint="eastAsia" w:eastAsia="仿宋_GB2312"/>
          <w:sz w:val="32"/>
          <w:szCs w:val="32"/>
        </w:rPr>
        <w:t>公斤</w:t>
      </w:r>
      <w:r>
        <w:rPr>
          <w:rFonts w:eastAsia="仿宋_GB2312"/>
          <w:sz w:val="32"/>
          <w:szCs w:val="32"/>
        </w:rPr>
        <w:t>/</w:t>
      </w:r>
      <w:r>
        <w:rPr>
          <w:rFonts w:hint="eastAsia" w:eastAsia="仿宋_GB2312"/>
          <w:sz w:val="32"/>
          <w:szCs w:val="32"/>
        </w:rPr>
        <w:t>亩。</w:t>
      </w:r>
    </w:p>
    <w:p w14:paraId="1077227C">
      <w:pPr>
        <w:widowControl/>
        <w:adjustRightInd w:val="0"/>
        <w:snapToGrid w:val="0"/>
        <w:spacing w:after="0" w:line="560" w:lineRule="exact"/>
        <w:ind w:firstLine="200"/>
        <w:rPr>
          <w:rFonts w:eastAsia="黑体"/>
          <w:bCs/>
          <w:kern w:val="0"/>
          <w:sz w:val="32"/>
          <w:szCs w:val="28"/>
        </w:rPr>
      </w:pPr>
      <w:r>
        <w:rPr>
          <w:rFonts w:eastAsia="黑体"/>
          <w:bCs/>
          <w:kern w:val="0"/>
          <w:sz w:val="32"/>
          <w:szCs w:val="28"/>
        </w:rPr>
        <w:br w:type="page"/>
      </w:r>
    </w:p>
    <w:p w14:paraId="0CA7F830">
      <w:pPr>
        <w:adjustRightInd w:val="0"/>
        <w:snapToGrid w:val="0"/>
        <w:spacing w:after="0" w:line="560" w:lineRule="exact"/>
        <w:ind w:firstLine="640" w:firstLineChars="200"/>
        <w:rPr>
          <w:rFonts w:eastAsia="黑体"/>
          <w:bCs/>
          <w:kern w:val="0"/>
          <w:sz w:val="32"/>
          <w:szCs w:val="28"/>
        </w:rPr>
      </w:pPr>
      <w:r>
        <w:rPr>
          <w:rFonts w:eastAsia="黑体"/>
          <w:bCs/>
          <w:kern w:val="0"/>
          <w:sz w:val="32"/>
          <w:szCs w:val="28"/>
        </w:rPr>
        <w:t>二、</w:t>
      </w:r>
      <w:bookmarkEnd w:id="4"/>
      <w:r>
        <w:rPr>
          <w:rFonts w:eastAsia="黑体"/>
          <w:bCs/>
          <w:kern w:val="0"/>
          <w:sz w:val="32"/>
          <w:szCs w:val="28"/>
        </w:rPr>
        <w:t>棉花智能装备</w:t>
      </w:r>
    </w:p>
    <w:p w14:paraId="77DF805D">
      <w:pPr>
        <w:overflowPunct w:val="0"/>
        <w:adjustRightInd w:val="0"/>
        <w:snapToGrid w:val="0"/>
        <w:spacing w:after="0" w:line="560" w:lineRule="exact"/>
        <w:ind w:firstLine="640" w:firstLineChars="200"/>
        <w:rPr>
          <w:rFonts w:eastAsia="楷体_GB2312"/>
          <w:bCs/>
          <w:kern w:val="0"/>
          <w:sz w:val="32"/>
          <w:szCs w:val="28"/>
        </w:rPr>
      </w:pPr>
      <w:bookmarkStart w:id="5" w:name="_Toc236745433"/>
      <w:bookmarkStart w:id="6" w:name="_Toc236745434"/>
      <w:bookmarkStart w:id="7" w:name="_Toc236746541"/>
      <w:bookmarkStart w:id="8" w:name="_Toc236576377"/>
      <w:r>
        <w:rPr>
          <w:rFonts w:eastAsia="楷体_GB2312"/>
          <w:bCs/>
          <w:kern w:val="0"/>
          <w:sz w:val="32"/>
          <w:szCs w:val="28"/>
        </w:rPr>
        <w:t>（一）</w:t>
      </w:r>
      <w:bookmarkEnd w:id="5"/>
      <w:r>
        <w:rPr>
          <w:rFonts w:hint="eastAsia" w:eastAsia="楷体_GB2312"/>
          <w:bCs/>
          <w:kern w:val="0"/>
          <w:sz w:val="32"/>
          <w:szCs w:val="28"/>
        </w:rPr>
        <w:t>棉花生产田间自主精准作业关键技术研究与示范</w:t>
      </w:r>
      <w:r>
        <w:rPr>
          <w:rFonts w:eastAsia="楷体_GB2312"/>
          <w:bCs/>
          <w:kern w:val="0"/>
          <w:sz w:val="32"/>
          <w:szCs w:val="28"/>
        </w:rPr>
        <w:t>（重大科技</w:t>
      </w:r>
      <w:r>
        <w:rPr>
          <w:rFonts w:hint="eastAsia" w:eastAsia="楷体_GB2312"/>
          <w:bCs/>
          <w:kern w:val="0"/>
          <w:sz w:val="32"/>
          <w:szCs w:val="28"/>
          <w:lang w:eastAsia="zh-CN"/>
        </w:rPr>
        <w:t>创新计划</w:t>
      </w:r>
      <w:r>
        <w:rPr>
          <w:rFonts w:eastAsia="楷体_GB2312"/>
          <w:bCs/>
          <w:kern w:val="0"/>
          <w:sz w:val="32"/>
          <w:szCs w:val="28"/>
        </w:rPr>
        <w:t>项目）</w:t>
      </w:r>
    </w:p>
    <w:p w14:paraId="0C095E76">
      <w:pPr>
        <w:overflowPunct w:val="0"/>
        <w:adjustRightInd w:val="0"/>
        <w:snapToGrid w:val="0"/>
        <w:spacing w:after="0" w:line="560" w:lineRule="exact"/>
        <w:ind w:firstLine="643" w:firstLineChars="200"/>
      </w:pPr>
      <w:r>
        <w:rPr>
          <w:rFonts w:eastAsia="仿宋_GB2312"/>
          <w:b/>
          <w:bCs/>
          <w:sz w:val="32"/>
          <w:szCs w:val="32"/>
        </w:rPr>
        <w:t>研究内容一：</w:t>
      </w:r>
      <w:r>
        <w:rPr>
          <w:rFonts w:hint="eastAsia" w:eastAsia="仿宋_GB2312"/>
          <w:b/>
          <w:bCs/>
          <w:sz w:val="32"/>
          <w:szCs w:val="32"/>
        </w:rPr>
        <w:t>规模化棉田“天空地”协同感知与农情智能解析</w:t>
      </w:r>
      <w:r>
        <w:rPr>
          <w:rFonts w:eastAsia="仿宋_GB2312"/>
          <w:b/>
          <w:bCs/>
          <w:sz w:val="32"/>
          <w:szCs w:val="32"/>
        </w:rPr>
        <w:t>。</w:t>
      </w:r>
      <w:r>
        <w:rPr>
          <w:rFonts w:hint="eastAsia" w:eastAsia="仿宋_GB2312"/>
          <w:sz w:val="32"/>
          <w:szCs w:val="32"/>
        </w:rPr>
        <w:t>面向规模化棉田自主精准作业需求，开展农田信息获取融合技术研究及装置开发</w:t>
      </w:r>
      <w:r>
        <w:rPr>
          <w:rFonts w:hint="eastAsia" w:eastAsia="仿宋_GB2312"/>
          <w:sz w:val="32"/>
          <w:szCs w:val="32"/>
          <w:lang w:eastAsia="zh-CN"/>
        </w:rPr>
        <w:t>。</w:t>
      </w:r>
      <w:r>
        <w:rPr>
          <w:rFonts w:hint="eastAsia" w:eastAsia="仿宋_GB2312"/>
          <w:sz w:val="32"/>
          <w:szCs w:val="32"/>
        </w:rPr>
        <w:t>构建“天空地”一体化协同监测体系，重点突破多源异构数据时空融合与物理先验耦合反演方法，研究多尺度数据融合与生境参数高精度反演算法</w:t>
      </w:r>
      <w:r>
        <w:rPr>
          <w:rFonts w:hint="eastAsia" w:eastAsia="仿宋_GB2312"/>
          <w:sz w:val="32"/>
          <w:szCs w:val="32"/>
          <w:lang w:eastAsia="zh-CN"/>
        </w:rPr>
        <w:t>。</w:t>
      </w:r>
      <w:r>
        <w:rPr>
          <w:rFonts w:hint="eastAsia" w:eastAsia="仿宋_GB2312"/>
          <w:sz w:val="32"/>
          <w:szCs w:val="32"/>
        </w:rPr>
        <w:t>构建覆盖棉花全生育期的多模态时序农情数据集与知识库</w:t>
      </w:r>
      <w:r>
        <w:rPr>
          <w:rFonts w:hint="eastAsia" w:eastAsia="仿宋_GB2312"/>
          <w:sz w:val="32"/>
          <w:szCs w:val="32"/>
          <w:lang w:eastAsia="zh-CN"/>
        </w:rPr>
        <w:t>，</w:t>
      </w:r>
      <w:r>
        <w:rPr>
          <w:rFonts w:hint="eastAsia" w:eastAsia="仿宋_GB2312"/>
          <w:sz w:val="32"/>
          <w:szCs w:val="32"/>
        </w:rPr>
        <w:t>建立统一的数据采集标准与开放共享机制</w:t>
      </w:r>
      <w:r>
        <w:rPr>
          <w:rFonts w:eastAsia="仿宋_GB2312"/>
          <w:sz w:val="32"/>
          <w:szCs w:val="32"/>
        </w:rPr>
        <w:t>。</w:t>
      </w:r>
    </w:p>
    <w:p w14:paraId="2FBCB9A2">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开发土壤养分关键参数信息感知装置2-3种</w:t>
      </w:r>
      <w:r>
        <w:rPr>
          <w:rFonts w:hint="eastAsia" w:eastAsia="仿宋_GB2312"/>
          <w:sz w:val="32"/>
          <w:szCs w:val="32"/>
          <w:lang w:eastAsia="zh-CN"/>
        </w:rPr>
        <w:t>。</w:t>
      </w:r>
      <w:r>
        <w:rPr>
          <w:rFonts w:hint="eastAsia" w:eastAsia="仿宋_GB2312"/>
          <w:sz w:val="32"/>
          <w:szCs w:val="32"/>
        </w:rPr>
        <w:t>构建适配新疆规模化棉田的农情感知模型1套，研发“天空地”多源数据融合与生境参数高精度反演算法1套，核心生境参数反演精度≥90%。建成覆盖棉花全生育期、涵盖多维度核心生境指标的多模态时序农情数据集库1套，建立统一数据接口标准1个</w:t>
      </w:r>
      <w:r>
        <w:rPr>
          <w:rFonts w:hint="eastAsia" w:eastAsia="仿宋_GB2312"/>
          <w:sz w:val="32"/>
          <w:szCs w:val="32"/>
          <w:lang w:eastAsia="zh-CN"/>
        </w:rPr>
        <w:t>，</w:t>
      </w:r>
      <w:r>
        <w:rPr>
          <w:rFonts w:hint="eastAsia" w:eastAsia="仿宋_GB2312"/>
          <w:sz w:val="32"/>
          <w:szCs w:val="32"/>
        </w:rPr>
        <w:t>形成规模化棉田协同感知技术方案与数据采集规范1套</w:t>
      </w:r>
      <w:r>
        <w:rPr>
          <w:rFonts w:eastAsia="仿宋_GB2312"/>
          <w:sz w:val="32"/>
          <w:szCs w:val="32"/>
        </w:rPr>
        <w:t>。</w:t>
      </w:r>
    </w:p>
    <w:p w14:paraId="03BCA8AB">
      <w:pPr>
        <w:pStyle w:val="48"/>
        <w:overflowPunct w:val="0"/>
        <w:adjustRightInd w:val="0"/>
        <w:snapToGrid w:val="0"/>
        <w:spacing w:line="560" w:lineRule="exact"/>
        <w:ind w:firstLine="643"/>
        <w:jc w:val="both"/>
        <w:rPr>
          <w:rFonts w:ascii="Times New Roman" w:hAnsi="Times New Roman" w:eastAsia="仿宋_GB2312"/>
          <w:sz w:val="32"/>
          <w:szCs w:val="32"/>
        </w:rPr>
      </w:pPr>
      <w:r>
        <w:rPr>
          <w:rFonts w:ascii="Times New Roman" w:hAnsi="Times New Roman" w:eastAsia="仿宋_GB2312"/>
          <w:b/>
          <w:bCs/>
          <w:sz w:val="32"/>
          <w:szCs w:val="32"/>
        </w:rPr>
        <w:t>研究内容二：</w:t>
      </w:r>
      <w:r>
        <w:rPr>
          <w:rFonts w:hint="eastAsia" w:ascii="Times New Roman" w:hAnsi="Times New Roman" w:eastAsia="仿宋_GB2312"/>
          <w:b/>
          <w:bCs/>
          <w:sz w:val="32"/>
          <w:szCs w:val="32"/>
        </w:rPr>
        <w:t>棉花全生育期自主决策智能体技术研究与跨场景泛化应用</w:t>
      </w:r>
      <w:r>
        <w:rPr>
          <w:rFonts w:ascii="Times New Roman" w:hAnsi="Times New Roman" w:eastAsia="仿宋_GB2312"/>
          <w:b/>
          <w:bCs/>
          <w:sz w:val="32"/>
          <w:szCs w:val="32"/>
        </w:rPr>
        <w:t>。</w:t>
      </w:r>
      <w:r>
        <w:rPr>
          <w:rFonts w:hint="eastAsia" w:ascii="Times New Roman" w:hAnsi="Times New Roman" w:eastAsia="仿宋_GB2312"/>
          <w:sz w:val="32"/>
          <w:szCs w:val="32"/>
        </w:rPr>
        <w:t>面向棉花全生育期精准管理对智能作业决策的迫切需求，融合多源遥感与作物生长信息，开发棉花全生育期关键生长状态的动态校正模型和机理-数据双驱动的自主决策模型。集成状态、决策模型与农艺知识规则，通过农情理解、模型调用、策略生成与任务规划，研发具备跨场景泛化能力的自主作业决策智能体（水肥决策智能体、施药智能体、农机操作智能体），为智能农机装备提供可执行的决策指令。形成覆盖“感知-决策-执行”闭环的棉花全生育期智能作业决策技术体系</w:t>
      </w:r>
      <w:r>
        <w:rPr>
          <w:rFonts w:ascii="Times New Roman" w:hAnsi="Times New Roman" w:eastAsia="仿宋_GB2312"/>
          <w:sz w:val="32"/>
          <w:szCs w:val="32"/>
        </w:rPr>
        <w:t>。</w:t>
      </w:r>
    </w:p>
    <w:p w14:paraId="7C6CF533">
      <w:pPr>
        <w:pStyle w:val="48"/>
        <w:overflowPunct w:val="0"/>
        <w:adjustRightInd w:val="0"/>
        <w:snapToGrid w:val="0"/>
        <w:spacing w:line="560" w:lineRule="exact"/>
        <w:ind w:firstLine="643"/>
        <w:jc w:val="both"/>
        <w:rPr>
          <w:rFonts w:ascii="Times New Roman" w:hAnsi="Times New Roman" w:eastAsia="仿宋_GB2312"/>
          <w:sz w:val="32"/>
          <w:szCs w:val="32"/>
        </w:rPr>
      </w:pPr>
      <w:r>
        <w:rPr>
          <w:rFonts w:ascii="Times New Roman" w:hAnsi="Times New Roman" w:eastAsia="仿宋_GB2312"/>
          <w:b/>
          <w:bCs/>
          <w:sz w:val="32"/>
          <w:szCs w:val="32"/>
        </w:rPr>
        <w:t>考核指标：</w:t>
      </w:r>
      <w:r>
        <w:rPr>
          <w:rFonts w:hint="eastAsia" w:ascii="Times New Roman" w:hAnsi="Times New Roman" w:eastAsia="仿宋_GB2312"/>
          <w:sz w:val="32"/>
          <w:szCs w:val="32"/>
        </w:rPr>
        <w:t>构建面向棉花全生育期的多智能体协同作业决策框架1套，支持水肥决策、施药决策、农机操作三类智能体的统一调度与信息共享。水肥决策智能体决策响应时间≤10s，施药智能体变量施药方案生成响应时间≤10s、与目前施药量相比农药减量≥20%，农机操作智能体处方到农机作业指令的转换响应时间≤5s。形成棉花全生育期智能精准管理技术规程1套，多智能体协同决策模型在跨年份、跨地块条件下的泛化精度≥0.80，单个智能体使用成本不超过10元/亩</w:t>
      </w:r>
      <w:r>
        <w:rPr>
          <w:rFonts w:ascii="Times New Roman" w:hAnsi="Times New Roman" w:eastAsia="仿宋_GB2312"/>
          <w:sz w:val="32"/>
          <w:szCs w:val="32"/>
        </w:rPr>
        <w:t>。</w:t>
      </w:r>
    </w:p>
    <w:p w14:paraId="0AD0D520">
      <w:pPr>
        <w:pStyle w:val="48"/>
        <w:overflowPunct w:val="0"/>
        <w:adjustRightInd w:val="0"/>
        <w:snapToGrid w:val="0"/>
        <w:spacing w:line="560" w:lineRule="exact"/>
        <w:ind w:firstLine="643"/>
        <w:jc w:val="both"/>
        <w:rPr>
          <w:rFonts w:ascii="Times New Roman" w:hAnsi="Times New Roman" w:eastAsia="仿宋_GB2312"/>
          <w:sz w:val="32"/>
          <w:szCs w:val="32"/>
        </w:rPr>
      </w:pPr>
      <w:r>
        <w:rPr>
          <w:rFonts w:ascii="Times New Roman" w:hAnsi="Times New Roman" w:eastAsia="仿宋_GB2312"/>
          <w:b/>
          <w:bCs/>
          <w:sz w:val="32"/>
          <w:szCs w:val="32"/>
        </w:rPr>
        <w:t>研究内容三：</w:t>
      </w:r>
      <w:r>
        <w:rPr>
          <w:rFonts w:hint="eastAsia" w:ascii="Times New Roman" w:hAnsi="Times New Roman" w:eastAsia="仿宋_GB2312"/>
          <w:b/>
          <w:bCs/>
          <w:sz w:val="32"/>
          <w:szCs w:val="32"/>
        </w:rPr>
        <w:t>复杂环境下智能农机自主作业控制与多机协同关键技术研究</w:t>
      </w:r>
      <w:r>
        <w:rPr>
          <w:rFonts w:ascii="Times New Roman" w:hAnsi="Times New Roman" w:eastAsia="仿宋_GB2312"/>
          <w:b/>
          <w:bCs/>
          <w:sz w:val="32"/>
          <w:szCs w:val="32"/>
        </w:rPr>
        <w:t>。</w:t>
      </w:r>
      <w:r>
        <w:rPr>
          <w:rFonts w:hint="eastAsia" w:ascii="Times New Roman" w:hAnsi="Times New Roman" w:eastAsia="仿宋_GB2312"/>
          <w:sz w:val="32"/>
          <w:szCs w:val="32"/>
        </w:rPr>
        <w:t>针对新疆棉田非结构化环境与异构农机协同作业难题，依据智能体决策指令，按“单机自主-多机协同-群体智能”路径开展研究。融合多源感知信息，研究非结构化环境下农机自适应控制技术，实现厘米级路径跟踪、自动对行等单机自主作业。开展异构农机统一建模与自适应组网，研究农机作业质量评估、分布式任务分配与路径规划优化算法，实现多机协同作业的安全与可靠性控制。构建播种、封土、中耕、植保等智能装备群体作业效能评估与自组织重调度机制，实现故障工况下自动补位与任务接替动态调度</w:t>
      </w:r>
      <w:r>
        <w:rPr>
          <w:rFonts w:ascii="Times New Roman" w:hAnsi="Times New Roman" w:eastAsia="仿宋_GB2312"/>
          <w:sz w:val="32"/>
          <w:szCs w:val="32"/>
        </w:rPr>
        <w:t>。</w:t>
      </w:r>
    </w:p>
    <w:p w14:paraId="6B1839B5">
      <w:pPr>
        <w:pStyle w:val="48"/>
        <w:overflowPunct w:val="0"/>
        <w:adjustRightInd w:val="0"/>
        <w:snapToGrid w:val="0"/>
        <w:spacing w:line="560" w:lineRule="exact"/>
        <w:ind w:firstLine="643"/>
        <w:jc w:val="both"/>
        <w:rPr>
          <w:rFonts w:ascii="Times New Roman" w:hAnsi="Times New Roman" w:eastAsia="仿宋_GB2312"/>
          <w:sz w:val="32"/>
          <w:szCs w:val="32"/>
        </w:rPr>
      </w:pPr>
      <w:r>
        <w:rPr>
          <w:rFonts w:ascii="Times New Roman" w:hAnsi="Times New Roman" w:eastAsia="仿宋_GB2312"/>
          <w:b/>
          <w:bCs/>
          <w:sz w:val="32"/>
          <w:szCs w:val="32"/>
        </w:rPr>
        <w:t>考核指标：</w:t>
      </w:r>
      <w:r>
        <w:rPr>
          <w:rFonts w:hint="eastAsia" w:ascii="Times New Roman" w:hAnsi="Times New Roman" w:eastAsia="仿宋_GB2312"/>
          <w:sz w:val="32"/>
          <w:szCs w:val="32"/>
        </w:rPr>
        <w:t>构建异构农机统一信息与作业行为模型1套，覆盖装备不少于4种。研发自适应通信组网技术和加密技术2项，支持不少于2种通信协议的异构农机互联互通，组网节点容量不少于10台，数据同步延迟≤100ms。研发分布式任务分配与路径规划算法1套，多机并行作业条件下任务分配最优性偏差≤10%，支持不少于5台农机的同时调度与协同作业，作业进度一致性偏差≤5%。构建群体作业效能实时评估与自组织重调度机制1套，单机故障工况下邻机自动补位与任务接替响应时间≤30s，任务接替成功率达到100%</w:t>
      </w:r>
      <w:r>
        <w:rPr>
          <w:rFonts w:ascii="Times New Roman" w:hAnsi="Times New Roman" w:eastAsia="仿宋_GB2312"/>
          <w:sz w:val="32"/>
          <w:szCs w:val="32"/>
        </w:rPr>
        <w:t>。</w:t>
      </w:r>
    </w:p>
    <w:p w14:paraId="073B1898">
      <w:pPr>
        <w:pStyle w:val="48"/>
        <w:overflowPunct w:val="0"/>
        <w:adjustRightInd w:val="0"/>
        <w:snapToGrid w:val="0"/>
        <w:spacing w:line="560" w:lineRule="exact"/>
        <w:ind w:firstLine="643"/>
        <w:jc w:val="both"/>
        <w:rPr>
          <w:rFonts w:ascii="Times New Roman" w:hAnsi="Times New Roman" w:eastAsia="仿宋_GB2312"/>
          <w:sz w:val="32"/>
          <w:szCs w:val="32"/>
        </w:rPr>
      </w:pPr>
      <w:r>
        <w:rPr>
          <w:rFonts w:ascii="Times New Roman" w:hAnsi="Times New Roman" w:eastAsia="仿宋_GB2312"/>
          <w:b/>
          <w:bCs/>
          <w:sz w:val="32"/>
          <w:szCs w:val="32"/>
        </w:rPr>
        <w:t>研究内容四：</w:t>
      </w:r>
      <w:r>
        <w:rPr>
          <w:rFonts w:hint="eastAsia" w:ascii="Times New Roman" w:hAnsi="Times New Roman" w:eastAsia="仿宋_GB2312"/>
          <w:b/>
          <w:bCs/>
          <w:sz w:val="32"/>
          <w:szCs w:val="32"/>
        </w:rPr>
        <w:t>棉花生产自主精准作业云边管控平台构建与集成示范</w:t>
      </w:r>
      <w:r>
        <w:rPr>
          <w:rFonts w:ascii="Times New Roman" w:hAnsi="Times New Roman" w:eastAsia="仿宋_GB2312"/>
          <w:b/>
          <w:bCs/>
          <w:sz w:val="32"/>
          <w:szCs w:val="32"/>
        </w:rPr>
        <w:t>。</w:t>
      </w:r>
      <w:r>
        <w:rPr>
          <w:rFonts w:hint="eastAsia" w:ascii="Times New Roman" w:hAnsi="Times New Roman" w:eastAsia="仿宋_GB2312"/>
          <w:sz w:val="32"/>
          <w:szCs w:val="32"/>
        </w:rPr>
        <w:t>面向棉花生产“感知-决策-执行-反馈”全流程贯通与规模化应用需求，搭建云端数据存储、模型运算与全局调度平台，研发边缘端实时数据处理与本地控制终端，实现感知数据、决策指令与作业反馈在云-边-端之间的闭环联动。研究制定感知数据、决策处方、作业装备的标准化软硬件接口规范与模块化部署方案，完成“天空地”协同感知-水肥药智能决策-农机自主作业-云边管控的全链条系统集成与联调联试。开展规模化应用示范，验证系统的稳定性、可靠性与经济性，形成可复制可推广的整体解决方案</w:t>
      </w:r>
      <w:r>
        <w:rPr>
          <w:rFonts w:ascii="Times New Roman" w:hAnsi="Times New Roman" w:eastAsia="仿宋_GB2312"/>
          <w:sz w:val="32"/>
          <w:szCs w:val="32"/>
        </w:rPr>
        <w:t>。</w:t>
      </w:r>
    </w:p>
    <w:p w14:paraId="45DE55F2">
      <w:pPr>
        <w:pStyle w:val="48"/>
        <w:overflowPunct w:val="0"/>
        <w:adjustRightInd w:val="0"/>
        <w:snapToGrid w:val="0"/>
        <w:spacing w:line="560" w:lineRule="exact"/>
        <w:ind w:firstLine="643"/>
        <w:jc w:val="both"/>
        <w:rPr>
          <w:rFonts w:ascii="Times New Roman" w:hAnsi="Times New Roman" w:eastAsia="楷体_GB2312"/>
          <w:bCs/>
          <w:kern w:val="0"/>
          <w:sz w:val="32"/>
          <w:szCs w:val="28"/>
        </w:rPr>
      </w:pPr>
      <w:r>
        <w:rPr>
          <w:rFonts w:ascii="Times New Roman" w:hAnsi="Times New Roman" w:eastAsia="仿宋_GB2312"/>
          <w:b/>
          <w:bCs/>
          <w:sz w:val="32"/>
          <w:szCs w:val="32"/>
        </w:rPr>
        <w:t>考核指标：</w:t>
      </w:r>
      <w:r>
        <w:rPr>
          <w:rFonts w:hint="eastAsia" w:ascii="Times New Roman" w:hAnsi="Times New Roman" w:eastAsia="仿宋_GB2312"/>
          <w:sz w:val="32"/>
          <w:szCs w:val="32"/>
        </w:rPr>
        <w:t>建成云边端一体化智能管控平台1套，具备农情数据管理、决策处方下发、作业远程监管与质量评价等功能，调度指令端到端响应时间≤1s。在棉花国创中心总部试验站建成标杆智慧农场1个（面积1300亩以上），制定地方或团体标准≥2项，作业技术规程≥2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在兵团主产棉区建成万亩核心示范区1个</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各类智能化作业装备累计推广应用500台（套）以上，新增产值不低于3000万元</w:t>
      </w:r>
      <w:r>
        <w:rPr>
          <w:rFonts w:ascii="Times New Roman" w:hAnsi="Times New Roman" w:eastAsia="仿宋_GB2312"/>
          <w:sz w:val="32"/>
          <w:szCs w:val="32"/>
        </w:rPr>
        <w:t>。</w:t>
      </w:r>
    </w:p>
    <w:p w14:paraId="16B98A99">
      <w:pPr>
        <w:overflowPunct w:val="0"/>
        <w:adjustRightInd w:val="0"/>
        <w:snapToGrid w:val="0"/>
        <w:spacing w:after="0" w:line="560" w:lineRule="exact"/>
        <w:ind w:firstLine="640" w:firstLineChars="200"/>
        <w:rPr>
          <w:rFonts w:eastAsia="楷体_GB2312"/>
          <w:bCs/>
          <w:kern w:val="0"/>
          <w:sz w:val="32"/>
          <w:szCs w:val="28"/>
        </w:rPr>
      </w:pPr>
      <w:r>
        <w:rPr>
          <w:rFonts w:eastAsia="楷体_GB2312"/>
          <w:bCs/>
          <w:kern w:val="0"/>
          <w:sz w:val="32"/>
          <w:szCs w:val="28"/>
        </w:rPr>
        <w:t>（二）</w:t>
      </w:r>
      <w:bookmarkEnd w:id="6"/>
      <w:r>
        <w:rPr>
          <w:rFonts w:hint="eastAsia" w:eastAsia="楷体_GB2312"/>
          <w:bCs/>
          <w:kern w:val="0"/>
          <w:sz w:val="32"/>
          <w:szCs w:val="28"/>
        </w:rPr>
        <w:t>新能源混合动力六行智能采棉机研发与示范</w:t>
      </w:r>
      <w:r>
        <w:rPr>
          <w:rFonts w:eastAsia="楷体_GB2312"/>
          <w:bCs/>
          <w:kern w:val="0"/>
          <w:sz w:val="32"/>
          <w:szCs w:val="28"/>
        </w:rPr>
        <w:t>（重大科技</w:t>
      </w:r>
      <w:r>
        <w:rPr>
          <w:rFonts w:hint="eastAsia" w:eastAsia="楷体_GB2312"/>
          <w:bCs/>
          <w:kern w:val="0"/>
          <w:sz w:val="32"/>
          <w:szCs w:val="28"/>
          <w:lang w:eastAsia="zh-CN"/>
        </w:rPr>
        <w:t>创新计划</w:t>
      </w:r>
      <w:r>
        <w:rPr>
          <w:rFonts w:eastAsia="楷体_GB2312"/>
          <w:bCs/>
          <w:kern w:val="0"/>
          <w:sz w:val="32"/>
          <w:szCs w:val="28"/>
        </w:rPr>
        <w:t>项目）</w:t>
      </w:r>
    </w:p>
    <w:p w14:paraId="0A931CFE">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研究内容一：</w:t>
      </w:r>
      <w:r>
        <w:rPr>
          <w:rFonts w:hint="eastAsia" w:eastAsia="仿宋_GB2312"/>
          <w:b/>
          <w:bCs/>
          <w:sz w:val="32"/>
          <w:szCs w:val="32"/>
        </w:rPr>
        <w:t>新能源混合动力采棉机电池管理系统研究</w:t>
      </w:r>
      <w:r>
        <w:rPr>
          <w:rFonts w:eastAsia="仿宋_GB2312"/>
          <w:b/>
          <w:bCs/>
          <w:sz w:val="32"/>
          <w:szCs w:val="32"/>
        </w:rPr>
        <w:t>。</w:t>
      </w:r>
      <w:bookmarkStart w:id="9" w:name="_Hlk235037458"/>
      <w:r>
        <w:rPr>
          <w:rFonts w:hint="eastAsia" w:eastAsia="仿宋_GB2312"/>
          <w:sz w:val="32"/>
          <w:szCs w:val="32"/>
        </w:rPr>
        <w:t>针对农机负载及外部环境变化大等特点，开发适用于大型农机产品的高倍率放电3C电池包结构，构建涵盖电池荷电状态（SOC）、健康状态（SOH）及剩余使用寿命（RUL）的高精度估算模型。实现电池系统电压、电流、温度与内阻等多参数监测与自检系统，通过数据传输实现企业后台健康管理与故障报警</w:t>
      </w:r>
      <w:r>
        <w:rPr>
          <w:rFonts w:eastAsia="仿宋_GB2312"/>
          <w:sz w:val="32"/>
          <w:szCs w:val="32"/>
        </w:rPr>
        <w:t>。</w:t>
      </w:r>
    </w:p>
    <w:p w14:paraId="3DDF8710">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bookmarkEnd w:id="9"/>
      <w:r>
        <w:rPr>
          <w:rFonts w:hint="eastAsia" w:eastAsia="仿宋_GB2312"/>
          <w:sz w:val="32"/>
          <w:szCs w:val="32"/>
        </w:rPr>
        <w:t>实现电池SOC/SOH/RUL状态估计与电压、电流、温度、内阻等关键参数实时监测，SOC估算误差≤8%、SOH估算误差≤8%、温度采集精度±2℃、电压测量精度≤2%、电流测量精度≤2%，完成台架及整机验证不少于200h。健康管理与故障报警系统1套，数据采集到平台预警响应时间≤5s</w:t>
      </w:r>
      <w:r>
        <w:rPr>
          <w:rFonts w:eastAsia="仿宋_GB2312"/>
          <w:sz w:val="32"/>
          <w:szCs w:val="32"/>
        </w:rPr>
        <w:t>。</w:t>
      </w:r>
    </w:p>
    <w:p w14:paraId="2058555A">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研究内容二：</w:t>
      </w:r>
      <w:r>
        <w:rPr>
          <w:rFonts w:hint="eastAsia" w:eastAsia="仿宋_GB2312"/>
          <w:b/>
          <w:bCs/>
          <w:sz w:val="32"/>
          <w:szCs w:val="32"/>
        </w:rPr>
        <w:t>电驱采棉机动力匹配关键技术与适配性研究</w:t>
      </w:r>
      <w:r>
        <w:rPr>
          <w:rFonts w:eastAsia="仿宋_GB2312"/>
          <w:b/>
          <w:bCs/>
          <w:sz w:val="32"/>
          <w:szCs w:val="32"/>
        </w:rPr>
        <w:t>。</w:t>
      </w:r>
      <w:r>
        <w:rPr>
          <w:rFonts w:hint="eastAsia" w:eastAsia="仿宋_GB2312"/>
          <w:sz w:val="32"/>
          <w:szCs w:val="32"/>
        </w:rPr>
        <w:t>研究采棉机行走、采摘、输送和打包等子系统工作时负载特性与能量需求，进行发动机、动力电池包驱动电机经济转速区间匹配设计，创制采棉机新能源混合动力系统架构，并研究发动机-电池包组的高效区间控制策略，实现能源的有效管理。针对采棉机作业过程中的多种负荷需求场景（采摘、打包、转场运输及怠速等），构建典型作业工况模型，制定多档能量管理策略，实现动力输出与电力消耗之间的智能调节</w:t>
      </w:r>
      <w:r>
        <w:rPr>
          <w:rFonts w:eastAsia="仿宋_GB2312"/>
          <w:sz w:val="32"/>
          <w:szCs w:val="32"/>
        </w:rPr>
        <w:t>。</w:t>
      </w:r>
    </w:p>
    <w:p w14:paraId="16F7D711">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作业油耗≤3.2升/亩，相较传统燃油采棉机油耗降低25%以上，构建覆盖不少于4类工况的典型作业模型1套；关键负载功率及阶段能耗预测误差≤10%。创制适用于六行自走式打包采棉机的新能源混合动力系统1套，突破新能源混合动力采棉机动力系统能源自适应调控技术1项</w:t>
      </w:r>
      <w:r>
        <w:rPr>
          <w:rFonts w:eastAsia="仿宋_GB2312"/>
          <w:sz w:val="32"/>
          <w:szCs w:val="32"/>
        </w:rPr>
        <w:t>。</w:t>
      </w:r>
    </w:p>
    <w:p w14:paraId="3F1890C7">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研究内容三：</w:t>
      </w:r>
      <w:r>
        <w:rPr>
          <w:rFonts w:hint="eastAsia" w:eastAsia="仿宋_GB2312"/>
          <w:b/>
          <w:bCs/>
          <w:sz w:val="32"/>
          <w:szCs w:val="32"/>
        </w:rPr>
        <w:t>低速重载内置双电机驱动桥关键技术研究与应用</w:t>
      </w:r>
      <w:r>
        <w:rPr>
          <w:rFonts w:eastAsia="仿宋_GB2312"/>
          <w:b/>
          <w:bCs/>
          <w:sz w:val="32"/>
          <w:szCs w:val="32"/>
        </w:rPr>
        <w:t>。</w:t>
      </w:r>
      <w:r>
        <w:rPr>
          <w:rFonts w:hint="eastAsia" w:eastAsia="仿宋_GB2312"/>
          <w:sz w:val="32"/>
          <w:szCs w:val="32"/>
        </w:rPr>
        <w:t>针对采棉机行走系统在复杂地形、多变负载等工况下的力学特性需求</w:t>
      </w:r>
      <w:r>
        <w:rPr>
          <w:rFonts w:hint="eastAsia" w:eastAsia="仿宋_GB2312"/>
          <w:sz w:val="32"/>
          <w:szCs w:val="32"/>
          <w:lang w:eastAsia="zh-CN"/>
        </w:rPr>
        <w:t>。</w:t>
      </w:r>
      <w:r>
        <w:rPr>
          <w:rFonts w:hint="eastAsia" w:eastAsia="仿宋_GB2312"/>
          <w:sz w:val="32"/>
          <w:szCs w:val="32"/>
        </w:rPr>
        <w:t>开展电驱行走驱动桥的关键技术研究</w:t>
      </w:r>
      <w:r>
        <w:rPr>
          <w:rFonts w:hint="eastAsia" w:eastAsia="仿宋_GB2312"/>
          <w:sz w:val="32"/>
          <w:szCs w:val="32"/>
          <w:lang w:eastAsia="zh-CN"/>
        </w:rPr>
        <w:t>，</w:t>
      </w:r>
      <w:r>
        <w:rPr>
          <w:rFonts w:hint="eastAsia" w:eastAsia="仿宋_GB2312"/>
          <w:sz w:val="32"/>
          <w:szCs w:val="32"/>
        </w:rPr>
        <w:t>分析采棉机在直线行驶、转向作业、坡地攀爬等典型工况下的驱动力学特性与性能指标，研发适用于采棉机低速重载作业场景的内置双电机电驱动桥。分析液压驱动与电机驱动特性差异，结合采棉机行走、转向、差速、防滑等多工作状态的控制需求，开发多模式协同的驱动控制策略，实现不同作业工况下的精准动力调控与稳定行驶控制</w:t>
      </w:r>
      <w:r>
        <w:rPr>
          <w:rFonts w:eastAsia="仿宋_GB2312"/>
          <w:sz w:val="32"/>
          <w:szCs w:val="32"/>
        </w:rPr>
        <w:t>。</w:t>
      </w:r>
    </w:p>
    <w:p w14:paraId="40AACC30">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额定电压618VDC、最大输出功率2×300kW、额定功率2×200kW、最大扭矩2×5747Nm、转矩控制精度≤3%、转速控制精度≤0.5%。台架试验完成“液压驱动与电机驱动特性”综合性能对比分析报告1份，传动效率提升10%以上</w:t>
      </w:r>
      <w:r>
        <w:rPr>
          <w:rFonts w:eastAsia="仿宋_GB2312"/>
          <w:sz w:val="32"/>
          <w:szCs w:val="32"/>
        </w:rPr>
        <w:t>。</w:t>
      </w:r>
    </w:p>
    <w:p w14:paraId="34898632">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研究内容四：</w:t>
      </w:r>
      <w:r>
        <w:rPr>
          <w:rFonts w:hint="eastAsia" w:eastAsia="仿宋_GB2312"/>
          <w:b/>
          <w:bCs/>
          <w:sz w:val="32"/>
          <w:szCs w:val="32"/>
        </w:rPr>
        <w:t>棉花自适应智能采摘装置研发</w:t>
      </w:r>
      <w:r>
        <w:rPr>
          <w:rFonts w:eastAsia="仿宋_GB2312"/>
          <w:b/>
          <w:bCs/>
          <w:sz w:val="32"/>
          <w:szCs w:val="32"/>
        </w:rPr>
        <w:t>。</w:t>
      </w:r>
      <w:r>
        <w:rPr>
          <w:rFonts w:hint="eastAsia" w:eastAsia="仿宋_GB2312"/>
          <w:sz w:val="32"/>
          <w:szCs w:val="32"/>
        </w:rPr>
        <w:t>针对机采棉作业速度受限、含杂率高、漏采损失和纤维损伤等问题</w:t>
      </w:r>
      <w:r>
        <w:rPr>
          <w:rFonts w:hint="eastAsia" w:eastAsia="仿宋_GB2312"/>
          <w:sz w:val="32"/>
          <w:szCs w:val="32"/>
          <w:lang w:eastAsia="zh-CN"/>
        </w:rPr>
        <w:t>。</w:t>
      </w:r>
      <w:r>
        <w:rPr>
          <w:rFonts w:hint="eastAsia" w:eastAsia="仿宋_GB2312"/>
          <w:sz w:val="32"/>
          <w:szCs w:val="32"/>
        </w:rPr>
        <w:t>开展棉花自适应智能采摘装置创制研究</w:t>
      </w:r>
      <w:r>
        <w:rPr>
          <w:rFonts w:hint="eastAsia" w:eastAsia="仿宋_GB2312"/>
          <w:sz w:val="32"/>
          <w:szCs w:val="32"/>
          <w:lang w:eastAsia="zh-CN"/>
        </w:rPr>
        <w:t>，</w:t>
      </w:r>
      <w:r>
        <w:rPr>
          <w:rFonts w:hint="eastAsia" w:eastAsia="仿宋_GB2312"/>
          <w:sz w:val="32"/>
          <w:szCs w:val="32"/>
        </w:rPr>
        <w:t>通过整体式静液压传动与共轴线布局、工况感知智能润滑、多源信息融合与参数自适应调控、北斗/视觉/机械触角融合对行仿形、脉冲气力除杂等研究，突破高可靠低耗传动、主动预防性维护、复杂工况高效低损采摘、低位棉铃采净与损失控制、籽棉低损低耗输送及含杂率控制关键技术，形成自适应智能采摘装置及配套控制、籽棉输送技术</w:t>
      </w:r>
      <w:r>
        <w:rPr>
          <w:rFonts w:eastAsia="仿宋_GB2312"/>
          <w:sz w:val="32"/>
          <w:szCs w:val="32"/>
        </w:rPr>
        <w:t>。</w:t>
      </w:r>
    </w:p>
    <w:p w14:paraId="7FDB3D88">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研制自适应智能采摘装置样机1套，采净率≥95%，撞落棉损失率≤2.5%，漏采漏棉率≤3%，籽棉含杂率≤8%，采头传动效率提高≥8%，采头系统能耗降低≥10%，对行精度达到±2.5cm，平均故障间隔时间≥200h</w:t>
      </w:r>
      <w:r>
        <w:rPr>
          <w:rFonts w:eastAsia="仿宋_GB2312"/>
          <w:sz w:val="32"/>
          <w:szCs w:val="32"/>
        </w:rPr>
        <w:t>。</w:t>
      </w:r>
    </w:p>
    <w:p w14:paraId="61781497">
      <w:pPr>
        <w:overflowPunct w:val="0"/>
        <w:adjustRightInd w:val="0"/>
        <w:snapToGrid w:val="0"/>
        <w:spacing w:after="0" w:line="560" w:lineRule="exact"/>
        <w:ind w:firstLine="643" w:firstLineChars="200"/>
        <w:rPr>
          <w:rFonts w:eastAsia="仿宋_GB2312"/>
          <w:b/>
          <w:bCs/>
          <w:sz w:val="32"/>
          <w:szCs w:val="32"/>
        </w:rPr>
      </w:pPr>
      <w:r>
        <w:rPr>
          <w:rFonts w:eastAsia="仿宋_GB2312"/>
          <w:b/>
          <w:bCs/>
          <w:sz w:val="32"/>
          <w:szCs w:val="32"/>
        </w:rPr>
        <w:t>研究内容五：</w:t>
      </w:r>
      <w:r>
        <w:rPr>
          <w:rFonts w:hint="eastAsia" w:eastAsia="仿宋_GB2312"/>
          <w:b/>
          <w:bCs/>
          <w:sz w:val="32"/>
          <w:szCs w:val="32"/>
        </w:rPr>
        <w:t>新能源混合动力采棉机整机控制系统及智能化功能提升关键技术研究</w:t>
      </w:r>
      <w:r>
        <w:rPr>
          <w:rFonts w:eastAsia="仿宋_GB2312"/>
          <w:b/>
          <w:bCs/>
          <w:sz w:val="32"/>
          <w:szCs w:val="32"/>
        </w:rPr>
        <w:t>。</w:t>
      </w:r>
    </w:p>
    <w:p w14:paraId="1B815773">
      <w:pPr>
        <w:overflowPunct w:val="0"/>
        <w:adjustRightInd w:val="0"/>
        <w:snapToGrid w:val="0"/>
        <w:spacing w:after="0" w:line="560" w:lineRule="exact"/>
        <w:ind w:firstLine="640" w:firstLineChars="200"/>
        <w:rPr>
          <w:rFonts w:eastAsia="仿宋_GB2312"/>
          <w:sz w:val="32"/>
          <w:szCs w:val="32"/>
        </w:rPr>
      </w:pPr>
      <w:r>
        <w:rPr>
          <w:rFonts w:hint="eastAsia" w:eastAsia="仿宋_GB2312"/>
          <w:sz w:val="32"/>
          <w:szCs w:val="32"/>
        </w:rPr>
        <w:t>研究不同模式下的多电机协同控制、驱动防滑与转矩分配、整机能量管理、热管理及可靠性验证，突破电机高效匹配、动力自适应输出、连续作业热控制等关键技术，形成适用于大型采棉机的电驱动控制系统，提升动力响应、作业稳定性和能源利用率。开发基于图像检测等多数据源的车载回潮检测系统、车身姿态检测技术、采摘头作业预测仿形控制技术、集棉箱仓位预测融合打包程序控制策略等。开展整机技术集成与田间作业验证；推动采棉机动力系统向电控化、智能化、绿色低碳方向升级</w:t>
      </w:r>
      <w:r>
        <w:rPr>
          <w:rFonts w:eastAsia="仿宋_GB2312"/>
          <w:sz w:val="32"/>
          <w:szCs w:val="32"/>
        </w:rPr>
        <w:t>。</w:t>
      </w:r>
    </w:p>
    <w:p w14:paraId="6524534A">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动力系统总功率：560kW（发动机）、300kW（电机），电池包容量48Ah，电机控制转速响应时间200ms，电池组工作温度控制在25-35℃。形成新能源智能采棉机混合动力系统1套，采棉机核心零部件国产化率达100%，整机首次故障前平均工作时间（MTTF）≥300h，整机有效度≥90%，易损件及常用维修保养件平均维护保养时间≤2h。试制样机整机10台，在南北疆典型棉区开展不少于10万亩的田间作业验证，开展技术培训≥3场，培训农机从业人员300人次以上，示范区采棉作业综合能耗降低25%以上</w:t>
      </w:r>
      <w:r>
        <w:rPr>
          <w:rFonts w:eastAsia="仿宋_GB2312"/>
          <w:sz w:val="32"/>
          <w:szCs w:val="32"/>
        </w:rPr>
        <w:t>。</w:t>
      </w:r>
    </w:p>
    <w:p w14:paraId="4753CEED">
      <w:pPr>
        <w:overflowPunct w:val="0"/>
        <w:adjustRightInd w:val="0"/>
        <w:snapToGrid w:val="0"/>
        <w:spacing w:after="0" w:line="560" w:lineRule="exact"/>
        <w:ind w:firstLine="640" w:firstLineChars="200"/>
        <w:rPr>
          <w:rFonts w:eastAsia="楷体_GB2312"/>
          <w:bCs/>
          <w:kern w:val="0"/>
          <w:sz w:val="32"/>
          <w:szCs w:val="32"/>
        </w:rPr>
      </w:pPr>
      <w:bookmarkStart w:id="10" w:name="_Toc236576379"/>
      <w:bookmarkStart w:id="11" w:name="_Toc236687813"/>
      <w:bookmarkStart w:id="12" w:name="_Toc236745437"/>
      <w:r>
        <w:rPr>
          <w:rFonts w:eastAsia="楷体_GB2312"/>
          <w:bCs/>
          <w:kern w:val="0"/>
          <w:sz w:val="32"/>
          <w:szCs w:val="32"/>
        </w:rPr>
        <w:t>（三）</w:t>
      </w:r>
      <w:r>
        <w:rPr>
          <w:rFonts w:hint="eastAsia" w:eastAsia="楷体_GB2312"/>
          <w:bCs/>
          <w:kern w:val="0"/>
          <w:sz w:val="32"/>
          <w:szCs w:val="32"/>
        </w:rPr>
        <w:t>棉花全程机械化自动对行技术开发及应用</w:t>
      </w:r>
      <w:r>
        <w:rPr>
          <w:rFonts w:eastAsia="楷体_GB2312"/>
          <w:bCs/>
          <w:kern w:val="0"/>
          <w:sz w:val="32"/>
          <w:szCs w:val="28"/>
        </w:rPr>
        <w:t>（重点领域</w:t>
      </w:r>
      <w:r>
        <w:rPr>
          <w:rFonts w:hint="eastAsia" w:eastAsia="楷体_GB2312"/>
          <w:bCs/>
          <w:kern w:val="0"/>
          <w:sz w:val="32"/>
          <w:szCs w:val="28"/>
        </w:rPr>
        <w:t>科技</w:t>
      </w:r>
      <w:r>
        <w:rPr>
          <w:rFonts w:eastAsia="楷体_GB2312"/>
          <w:bCs/>
          <w:kern w:val="0"/>
          <w:sz w:val="32"/>
          <w:szCs w:val="28"/>
        </w:rPr>
        <w:t>攻关</w:t>
      </w:r>
      <w:r>
        <w:rPr>
          <w:rFonts w:hint="eastAsia" w:eastAsia="楷体_GB2312"/>
          <w:bCs/>
          <w:kern w:val="0"/>
          <w:sz w:val="32"/>
          <w:szCs w:val="28"/>
          <w:lang w:eastAsia="zh-CN"/>
        </w:rPr>
        <w:t>计划</w:t>
      </w:r>
      <w:r>
        <w:rPr>
          <w:rFonts w:eastAsia="楷体_GB2312"/>
          <w:bCs/>
          <w:kern w:val="0"/>
          <w:sz w:val="32"/>
          <w:szCs w:val="28"/>
        </w:rPr>
        <w:t>项目）</w:t>
      </w:r>
    </w:p>
    <w:p w14:paraId="0B44A9F2">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研究内容一：</w:t>
      </w:r>
      <w:r>
        <w:rPr>
          <w:rFonts w:hint="eastAsia" w:eastAsia="仿宋_GB2312"/>
          <w:b/>
          <w:bCs/>
          <w:sz w:val="32"/>
          <w:szCs w:val="32"/>
        </w:rPr>
        <w:t>棉花生产全程机械化自动对行规划关键技术研究</w:t>
      </w:r>
      <w:r>
        <w:rPr>
          <w:rFonts w:eastAsia="仿宋_GB2312"/>
          <w:sz w:val="32"/>
          <w:szCs w:val="32"/>
        </w:rPr>
        <w:t>。</w:t>
      </w:r>
      <w:r>
        <w:rPr>
          <w:rFonts w:hint="eastAsia" w:eastAsia="仿宋_GB2312"/>
          <w:sz w:val="32"/>
          <w:szCs w:val="32"/>
        </w:rPr>
        <w:t>研发播种机组作业轨迹记录、棉行位置反演及田间棉行分布电子地图生成技术，研究无轨迹记录田块棉行分布关键信息筛选及整田棉行位置推演方法</w:t>
      </w:r>
      <w:r>
        <w:rPr>
          <w:rFonts w:hint="eastAsia" w:eastAsia="仿宋_GB2312"/>
          <w:sz w:val="32"/>
          <w:szCs w:val="32"/>
          <w:lang w:eastAsia="zh-CN"/>
        </w:rPr>
        <w:t>，</w:t>
      </w:r>
      <w:r>
        <w:rPr>
          <w:rFonts w:hint="eastAsia" w:eastAsia="仿宋_GB2312"/>
          <w:sz w:val="32"/>
          <w:szCs w:val="32"/>
        </w:rPr>
        <w:t>开发田管和收获作业路径对行派生及转弯掉头路径规划技术，集成构建棉花全程机械化自动对行精准作业的总体技术方案</w:t>
      </w:r>
      <w:r>
        <w:rPr>
          <w:rFonts w:eastAsia="仿宋_GB2312"/>
          <w:sz w:val="32"/>
          <w:szCs w:val="32"/>
        </w:rPr>
        <w:t>。</w:t>
      </w:r>
    </w:p>
    <w:p w14:paraId="4F8013F5">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棉行位置反演误差≤2cm，派生路径的对行偏差≤3cm、田头转弯掉头入幅位置偏差≤10cm</w:t>
      </w:r>
      <w:r>
        <w:rPr>
          <w:rFonts w:eastAsia="仿宋_GB2312"/>
          <w:sz w:val="32"/>
          <w:szCs w:val="32"/>
        </w:rPr>
        <w:t>。</w:t>
      </w:r>
    </w:p>
    <w:p w14:paraId="200CF43A">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研究内容二：</w:t>
      </w:r>
      <w:r>
        <w:rPr>
          <w:rFonts w:hint="eastAsia" w:eastAsia="仿宋_GB2312"/>
          <w:b/>
          <w:bCs/>
          <w:sz w:val="32"/>
          <w:szCs w:val="32"/>
        </w:rPr>
        <w:t>棉花生产全程机械化自动对行导航系统研发</w:t>
      </w:r>
      <w:r>
        <w:rPr>
          <w:rFonts w:eastAsia="仿宋_GB2312"/>
          <w:sz w:val="32"/>
          <w:szCs w:val="32"/>
        </w:rPr>
        <w:t>。</w:t>
      </w:r>
      <w:r>
        <w:rPr>
          <w:rFonts w:hint="eastAsia" w:eastAsia="仿宋_GB2312"/>
          <w:sz w:val="32"/>
          <w:szCs w:val="32"/>
        </w:rPr>
        <w:t>研发集作业路径规划、自动导航、作业轨迹记录、田间棉行位置反演、田间棉行分布电子地图生成、田管和收获作业路径对行派生及远程通讯功能于一体的导航终端；开发电子地图收发及存储云平台；研制便携式田间棉行分布信息采集装置；集成创制棉花全程机械化自动对行导航系统</w:t>
      </w:r>
      <w:r>
        <w:rPr>
          <w:rFonts w:eastAsia="仿宋_GB2312"/>
          <w:sz w:val="32"/>
          <w:szCs w:val="32"/>
        </w:rPr>
        <w:t>。</w:t>
      </w:r>
    </w:p>
    <w:p w14:paraId="07F43E8E">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研制便携式田间棉行分布信息采集装置1种，研发棉花全程机械化自动对行导航系统1套，对行导航误差≤3cm</w:t>
      </w:r>
      <w:r>
        <w:rPr>
          <w:rFonts w:eastAsia="仿宋_GB2312"/>
          <w:sz w:val="32"/>
          <w:szCs w:val="32"/>
        </w:rPr>
        <w:t>。</w:t>
      </w:r>
    </w:p>
    <w:p w14:paraId="7E6258B4">
      <w:pPr>
        <w:overflowPunct w:val="0"/>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研究内容三：</w:t>
      </w:r>
      <w:r>
        <w:rPr>
          <w:rFonts w:hint="eastAsia" w:eastAsia="仿宋_GB2312"/>
          <w:b/>
          <w:bCs/>
          <w:sz w:val="32"/>
          <w:szCs w:val="32"/>
        </w:rPr>
        <w:t>棉花生产全程机械化自动对行技术示范与推广</w:t>
      </w:r>
      <w:r>
        <w:rPr>
          <w:rFonts w:eastAsia="仿宋_GB2312"/>
          <w:b/>
          <w:bCs/>
          <w:sz w:val="32"/>
          <w:szCs w:val="32"/>
        </w:rPr>
        <w:t>。</w:t>
      </w:r>
      <w:r>
        <w:rPr>
          <w:rFonts w:hint="eastAsia" w:eastAsia="仿宋_GB2312"/>
          <w:sz w:val="32"/>
          <w:szCs w:val="32"/>
        </w:rPr>
        <w:t>制定田间棉行位置反演、田间棉行分布电子地图生成、田管和收获作业路径对行派生及自动导航作业效果的评价指标体系与检测方法，进行田间试验、结果分析及产品优化，形成一套完整的棉花生产全程机械化自动对行精准作业技术体系和标准，并在棉花主产区开展技术示范与应用</w:t>
      </w:r>
      <w:r>
        <w:rPr>
          <w:rFonts w:eastAsia="仿宋_GB2312"/>
          <w:sz w:val="32"/>
          <w:szCs w:val="32"/>
        </w:rPr>
        <w:t>。</w:t>
      </w:r>
    </w:p>
    <w:p w14:paraId="72133DED">
      <w:pPr>
        <w:overflowPunct w:val="0"/>
        <w:adjustRightInd w:val="0"/>
        <w:snapToGrid w:val="0"/>
        <w:spacing w:after="0" w:line="560" w:lineRule="exact"/>
        <w:ind w:firstLine="643" w:firstLineChars="200"/>
        <w:rPr>
          <w:sz w:val="32"/>
          <w:szCs w:val="32"/>
        </w:rPr>
      </w:pPr>
      <w:r>
        <w:rPr>
          <w:rFonts w:eastAsia="仿宋_GB2312"/>
          <w:b/>
          <w:bCs/>
          <w:sz w:val="32"/>
          <w:szCs w:val="32"/>
        </w:rPr>
        <w:t>考核指标：</w:t>
      </w:r>
      <w:r>
        <w:rPr>
          <w:rFonts w:hint="eastAsia" w:eastAsia="仿宋_GB2312"/>
          <w:sz w:val="32"/>
          <w:szCs w:val="32"/>
        </w:rPr>
        <w:t>建立4个千亩级核心示范区，田管和收获作业效率均提升5%以上，应用面积20万亩以上，制定田管和收获自动对行标准各1项</w:t>
      </w:r>
      <w:r>
        <w:rPr>
          <w:rFonts w:eastAsia="仿宋_GB2312"/>
          <w:sz w:val="32"/>
          <w:szCs w:val="32"/>
        </w:rPr>
        <w:t>。</w:t>
      </w:r>
    </w:p>
    <w:bookmarkEnd w:id="10"/>
    <w:bookmarkEnd w:id="11"/>
    <w:bookmarkEnd w:id="12"/>
    <w:p w14:paraId="3044111C">
      <w:pPr>
        <w:widowControl/>
        <w:adjustRightInd w:val="0"/>
        <w:snapToGrid w:val="0"/>
        <w:spacing w:after="0" w:line="560" w:lineRule="exact"/>
        <w:ind w:firstLine="200"/>
        <w:rPr>
          <w:rFonts w:eastAsia="黑体"/>
          <w:bCs/>
          <w:kern w:val="0"/>
          <w:sz w:val="32"/>
          <w:szCs w:val="28"/>
        </w:rPr>
      </w:pPr>
      <w:r>
        <w:rPr>
          <w:rFonts w:eastAsia="黑体"/>
          <w:bCs/>
          <w:kern w:val="0"/>
          <w:sz w:val="32"/>
          <w:szCs w:val="28"/>
        </w:rPr>
        <w:br w:type="page"/>
      </w:r>
    </w:p>
    <w:p w14:paraId="128BFC06">
      <w:pPr>
        <w:adjustRightInd w:val="0"/>
        <w:snapToGrid w:val="0"/>
        <w:spacing w:after="0" w:line="560" w:lineRule="exact"/>
        <w:ind w:firstLine="640" w:firstLineChars="200"/>
        <w:rPr>
          <w:rFonts w:eastAsia="黑体"/>
          <w:bCs/>
          <w:kern w:val="0"/>
          <w:sz w:val="32"/>
          <w:szCs w:val="28"/>
        </w:rPr>
      </w:pPr>
      <w:r>
        <w:rPr>
          <w:rFonts w:hint="eastAsia" w:eastAsia="黑体"/>
          <w:bCs/>
          <w:kern w:val="0"/>
          <w:sz w:val="32"/>
          <w:szCs w:val="28"/>
          <w:lang w:eastAsia="zh-CN"/>
        </w:rPr>
        <w:t>三</w:t>
      </w:r>
      <w:r>
        <w:rPr>
          <w:rFonts w:eastAsia="黑体"/>
          <w:bCs/>
          <w:kern w:val="0"/>
          <w:sz w:val="32"/>
          <w:szCs w:val="28"/>
        </w:rPr>
        <w:t>、棉花纺织印染</w:t>
      </w:r>
    </w:p>
    <w:p w14:paraId="2440FEB3">
      <w:pPr>
        <w:adjustRightInd w:val="0"/>
        <w:snapToGrid w:val="0"/>
        <w:spacing w:after="0" w:line="560" w:lineRule="exact"/>
        <w:ind w:firstLine="640" w:firstLineChars="200"/>
        <w:rPr>
          <w:rFonts w:eastAsia="楷体_GB2312"/>
          <w:bCs/>
          <w:kern w:val="0"/>
          <w:sz w:val="32"/>
          <w:szCs w:val="28"/>
        </w:rPr>
      </w:pPr>
      <w:r>
        <w:rPr>
          <w:rFonts w:eastAsia="楷体_GB2312"/>
          <w:bCs/>
          <w:kern w:val="0"/>
          <w:sz w:val="32"/>
          <w:szCs w:val="28"/>
        </w:rPr>
        <w:t>（一）</w:t>
      </w:r>
      <w:bookmarkEnd w:id="7"/>
      <w:bookmarkEnd w:id="8"/>
      <w:r>
        <w:rPr>
          <w:rFonts w:hint="eastAsia" w:eastAsia="楷体_GB2312"/>
          <w:bCs/>
          <w:kern w:val="0"/>
          <w:sz w:val="32"/>
          <w:szCs w:val="28"/>
        </w:rPr>
        <w:t>天然染料高压环保染色棉纤维关键技术研究与示范</w:t>
      </w:r>
      <w:r>
        <w:rPr>
          <w:rFonts w:eastAsia="楷体_GB2312"/>
          <w:bCs/>
          <w:kern w:val="0"/>
          <w:sz w:val="32"/>
          <w:szCs w:val="28"/>
        </w:rPr>
        <w:t>（重点领域科技攻关</w:t>
      </w:r>
      <w:r>
        <w:rPr>
          <w:rFonts w:hint="eastAsia" w:eastAsia="楷体_GB2312"/>
          <w:bCs/>
          <w:kern w:val="0"/>
          <w:sz w:val="32"/>
          <w:szCs w:val="28"/>
          <w:lang w:eastAsia="zh-CN"/>
        </w:rPr>
        <w:t>计划</w:t>
      </w:r>
      <w:r>
        <w:rPr>
          <w:rFonts w:eastAsia="楷体_GB2312"/>
          <w:bCs/>
          <w:kern w:val="0"/>
          <w:sz w:val="32"/>
          <w:szCs w:val="28"/>
        </w:rPr>
        <w:t>项目）</w:t>
      </w:r>
    </w:p>
    <w:p w14:paraId="35BA01D5">
      <w:pPr>
        <w:adjustRightInd w:val="0"/>
        <w:snapToGrid w:val="0"/>
        <w:spacing w:after="0" w:line="560" w:lineRule="exact"/>
        <w:ind w:firstLine="643" w:firstLineChars="200"/>
        <w:rPr>
          <w:rFonts w:eastAsia="仿宋_GB2312"/>
          <w:sz w:val="32"/>
          <w:szCs w:val="32"/>
        </w:rPr>
      </w:pPr>
      <w:r>
        <w:rPr>
          <w:rFonts w:eastAsia="楷体_GB2312"/>
          <w:b/>
          <w:sz w:val="32"/>
          <w:szCs w:val="22"/>
        </w:rPr>
        <w:t>研究内容</w:t>
      </w:r>
      <w:r>
        <w:rPr>
          <w:rFonts w:eastAsia="仿宋_GB2312"/>
          <w:b/>
          <w:bCs/>
          <w:sz w:val="32"/>
          <w:szCs w:val="32"/>
        </w:rPr>
        <w:t>一：</w:t>
      </w:r>
      <w:r>
        <w:rPr>
          <w:rFonts w:hint="eastAsia" w:eastAsia="仿宋_GB2312"/>
          <w:b/>
          <w:sz w:val="32"/>
          <w:szCs w:val="32"/>
        </w:rPr>
        <w:t>天然染料高压辅助绿色高效提取与纳米化制备技术研究</w:t>
      </w:r>
      <w:r>
        <w:rPr>
          <w:rFonts w:eastAsia="仿宋_GB2312"/>
          <w:b/>
          <w:sz w:val="32"/>
          <w:szCs w:val="32"/>
        </w:rPr>
        <w:t>。</w:t>
      </w:r>
      <w:r>
        <w:rPr>
          <w:rFonts w:hint="eastAsia" w:eastAsia="仿宋_GB2312"/>
          <w:sz w:val="32"/>
          <w:szCs w:val="32"/>
        </w:rPr>
        <w:t>围绕新疆特色林果剩余物等植物资源增值化利用，筛选适配棉纤维高压染色的优质天然染料品种。研发高压辅助多谱系染料提取技术</w:t>
      </w:r>
      <w:r>
        <w:rPr>
          <w:rFonts w:hint="eastAsia" w:eastAsia="仿宋_GB2312"/>
          <w:sz w:val="32"/>
          <w:szCs w:val="32"/>
          <w:lang w:eastAsia="zh-CN"/>
        </w:rPr>
        <w:t>，</w:t>
      </w:r>
      <w:r>
        <w:rPr>
          <w:rFonts w:hint="eastAsia" w:eastAsia="仿宋_GB2312"/>
          <w:sz w:val="32"/>
          <w:szCs w:val="32"/>
        </w:rPr>
        <w:t>研究高压条件对染料颗粒纳米化的调控效应，实现天然染料清洁低碳工程化制备</w:t>
      </w:r>
      <w:r>
        <w:rPr>
          <w:rFonts w:eastAsia="仿宋_GB2312"/>
          <w:sz w:val="32"/>
          <w:szCs w:val="32"/>
        </w:rPr>
        <w:t>。</w:t>
      </w:r>
    </w:p>
    <w:p w14:paraId="028C5193">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筛选适用于高压染色的新疆特色天然染料3-5种</w:t>
      </w:r>
      <w:r>
        <w:rPr>
          <w:rFonts w:hint="eastAsia" w:eastAsia="仿宋_GB2312"/>
          <w:sz w:val="32"/>
          <w:szCs w:val="32"/>
          <w:lang w:eastAsia="zh-CN"/>
        </w:rPr>
        <w:t>。</w:t>
      </w:r>
      <w:r>
        <w:rPr>
          <w:rFonts w:hint="eastAsia" w:eastAsia="仿宋_GB2312"/>
          <w:sz w:val="32"/>
          <w:szCs w:val="32"/>
        </w:rPr>
        <w:t>开发绿色高效高压辅助提取工艺1-2个</w:t>
      </w:r>
      <w:r>
        <w:rPr>
          <w:rFonts w:hint="eastAsia" w:eastAsia="仿宋_GB2312"/>
          <w:sz w:val="32"/>
          <w:szCs w:val="32"/>
          <w:lang w:eastAsia="zh-CN"/>
        </w:rPr>
        <w:t>，</w:t>
      </w:r>
      <w:r>
        <w:rPr>
          <w:rFonts w:hint="eastAsia" w:eastAsia="仿宋_GB2312"/>
          <w:sz w:val="32"/>
          <w:szCs w:val="32"/>
        </w:rPr>
        <w:t>染料提取料液量降低50%以上，染料提取效率较传统工艺提升20%以上</w:t>
      </w:r>
      <w:r>
        <w:rPr>
          <w:rFonts w:hint="eastAsia" w:eastAsia="仿宋_GB2312"/>
          <w:sz w:val="32"/>
          <w:szCs w:val="32"/>
          <w:lang w:eastAsia="zh-CN"/>
        </w:rPr>
        <w:t>，</w:t>
      </w:r>
      <w:r>
        <w:rPr>
          <w:rFonts w:hint="eastAsia" w:eastAsia="仿宋_GB2312"/>
          <w:sz w:val="32"/>
          <w:szCs w:val="32"/>
        </w:rPr>
        <w:t>实现天然染料固体颗粒尺寸50-200nm可控制备</w:t>
      </w:r>
      <w:r>
        <w:rPr>
          <w:rFonts w:eastAsia="仿宋_GB2312"/>
          <w:sz w:val="32"/>
          <w:szCs w:val="32"/>
        </w:rPr>
        <w:t>。</w:t>
      </w:r>
    </w:p>
    <w:p w14:paraId="66588B2A">
      <w:pPr>
        <w:adjustRightInd w:val="0"/>
        <w:snapToGrid w:val="0"/>
        <w:spacing w:after="0" w:line="560" w:lineRule="exact"/>
        <w:ind w:firstLine="643" w:firstLineChars="200"/>
        <w:rPr>
          <w:rFonts w:eastAsia="仿宋_GB2312"/>
          <w:sz w:val="32"/>
          <w:szCs w:val="32"/>
        </w:rPr>
      </w:pPr>
      <w:r>
        <w:rPr>
          <w:rFonts w:eastAsia="楷体_GB2312"/>
          <w:b/>
          <w:sz w:val="32"/>
          <w:szCs w:val="22"/>
        </w:rPr>
        <w:t>研究内容</w:t>
      </w:r>
      <w:r>
        <w:rPr>
          <w:rFonts w:eastAsia="仿宋_GB2312"/>
          <w:b/>
          <w:bCs/>
          <w:sz w:val="32"/>
          <w:szCs w:val="32"/>
        </w:rPr>
        <w:t>二：</w:t>
      </w:r>
      <w:r>
        <w:rPr>
          <w:rFonts w:hint="eastAsia" w:eastAsia="仿宋_GB2312"/>
          <w:b/>
          <w:sz w:val="32"/>
          <w:szCs w:val="32"/>
        </w:rPr>
        <w:t>天然染料棉纤维高压染色机制与关键技术研究</w:t>
      </w:r>
      <w:r>
        <w:rPr>
          <w:rFonts w:eastAsia="仿宋_GB2312"/>
          <w:b/>
          <w:sz w:val="32"/>
          <w:szCs w:val="32"/>
        </w:rPr>
        <w:t>。</w:t>
      </w:r>
      <w:r>
        <w:rPr>
          <w:rFonts w:hint="eastAsia" w:eastAsia="仿宋_GB2312"/>
          <w:sz w:val="32"/>
          <w:szCs w:val="32"/>
        </w:rPr>
        <w:t>针对天然染料棉纤维上染率低、匀染性差、助剂用量大的问题</w:t>
      </w:r>
      <w:r>
        <w:rPr>
          <w:rFonts w:hint="eastAsia" w:eastAsia="仿宋_GB2312"/>
          <w:sz w:val="32"/>
          <w:szCs w:val="32"/>
          <w:lang w:eastAsia="zh-CN"/>
        </w:rPr>
        <w:t>。</w:t>
      </w:r>
      <w:r>
        <w:rPr>
          <w:rFonts w:hint="eastAsia" w:eastAsia="仿宋_GB2312"/>
          <w:sz w:val="32"/>
          <w:szCs w:val="32"/>
        </w:rPr>
        <w:t>开展高压染色关键技术研究</w:t>
      </w:r>
      <w:r>
        <w:rPr>
          <w:rFonts w:hint="eastAsia" w:eastAsia="仿宋_GB2312"/>
          <w:sz w:val="32"/>
          <w:szCs w:val="32"/>
          <w:lang w:eastAsia="zh-CN"/>
        </w:rPr>
        <w:t>，</w:t>
      </w:r>
      <w:r>
        <w:rPr>
          <w:rFonts w:hint="eastAsia" w:eastAsia="仿宋_GB2312"/>
          <w:sz w:val="32"/>
          <w:szCs w:val="32"/>
        </w:rPr>
        <w:t>揭示高压环境下天然染料在纤维表面的吸附规律与内部扩散机理，明确高压对染料聚集态结构的调控作用，揭示聚集态演变与染色牢度、匀染性的内在关联。开发天然染料高牢度散纤维染色成套工艺，为天然染料染色工业化生产示范线建设提供技术支持</w:t>
      </w:r>
      <w:r>
        <w:rPr>
          <w:rFonts w:eastAsia="仿宋_GB2312"/>
          <w:sz w:val="32"/>
          <w:szCs w:val="32"/>
        </w:rPr>
        <w:t>。</w:t>
      </w:r>
    </w:p>
    <w:p w14:paraId="1D0CD2AE">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开发天然染料染散纤维工艺1个，染色温度低于60℃，天然染料上染率≥70%，固色率≥75%，匀染性≥4级（测试标准：</w:t>
      </w:r>
      <w:r>
        <w:rPr>
          <w:rFonts w:eastAsia="仿宋_GB2312"/>
          <w:sz w:val="32"/>
          <w:szCs w:val="32"/>
        </w:rPr>
        <w:t>GB/T21881-2015</w:t>
      </w:r>
      <w:r>
        <w:rPr>
          <w:rFonts w:hint="eastAsia" w:eastAsia="仿宋_GB2312"/>
          <w:sz w:val="32"/>
          <w:szCs w:val="32"/>
        </w:rPr>
        <w:t>），降助剂量≥20%，用水量较传统水浴染色降低50%以上，染色时间缩短50%。染色织物耐皂洗色牢度≥4级（测试标准：</w:t>
      </w:r>
      <w:r>
        <w:rPr>
          <w:rFonts w:eastAsia="仿宋_GB2312"/>
          <w:sz w:val="32"/>
          <w:szCs w:val="32"/>
        </w:rPr>
        <w:t>GB/T3921-2008</w:t>
      </w:r>
      <w:r>
        <w:rPr>
          <w:rFonts w:hint="eastAsia" w:eastAsia="仿宋_GB2312"/>
          <w:sz w:val="32"/>
          <w:szCs w:val="32"/>
        </w:rPr>
        <w:t>），干/湿摩擦色牢度≥4级（测试标准：</w:t>
      </w:r>
      <w:r>
        <w:rPr>
          <w:rFonts w:eastAsia="仿宋_GB2312"/>
          <w:sz w:val="32"/>
          <w:szCs w:val="32"/>
        </w:rPr>
        <w:t>GB/T3920-2008</w:t>
      </w:r>
      <w:r>
        <w:rPr>
          <w:rFonts w:hint="eastAsia" w:eastAsia="仿宋_GB2312"/>
          <w:sz w:val="32"/>
          <w:szCs w:val="32"/>
        </w:rPr>
        <w:t>），耐汗渍色牢度≥3-4级（测试标准：</w:t>
      </w:r>
      <w:r>
        <w:rPr>
          <w:rFonts w:eastAsia="仿宋_GB2312"/>
          <w:sz w:val="32"/>
          <w:szCs w:val="32"/>
        </w:rPr>
        <w:t>GB/T3922-2013</w:t>
      </w:r>
      <w:r>
        <w:rPr>
          <w:rFonts w:hint="eastAsia" w:eastAsia="仿宋_GB2312"/>
          <w:sz w:val="32"/>
          <w:szCs w:val="32"/>
        </w:rPr>
        <w:t>）；发表高水平学术论文1篇</w:t>
      </w:r>
      <w:r>
        <w:rPr>
          <w:rFonts w:eastAsia="仿宋_GB2312"/>
          <w:sz w:val="32"/>
          <w:szCs w:val="32"/>
        </w:rPr>
        <w:t>。</w:t>
      </w:r>
    </w:p>
    <w:p w14:paraId="3082718D">
      <w:pPr>
        <w:adjustRightInd w:val="0"/>
        <w:snapToGrid w:val="0"/>
        <w:spacing w:after="0" w:line="560" w:lineRule="exact"/>
        <w:ind w:firstLine="643" w:firstLineChars="200"/>
        <w:rPr>
          <w:rFonts w:eastAsia="仿宋_GB2312"/>
          <w:sz w:val="32"/>
          <w:szCs w:val="32"/>
        </w:rPr>
      </w:pPr>
      <w:r>
        <w:rPr>
          <w:rFonts w:eastAsia="楷体_GB2312"/>
          <w:b/>
          <w:sz w:val="32"/>
          <w:szCs w:val="22"/>
        </w:rPr>
        <w:t>研究内容</w:t>
      </w:r>
      <w:r>
        <w:rPr>
          <w:rFonts w:eastAsia="仿宋_GB2312"/>
          <w:b/>
          <w:bCs/>
          <w:sz w:val="32"/>
          <w:szCs w:val="32"/>
        </w:rPr>
        <w:t>三：</w:t>
      </w:r>
      <w:r>
        <w:rPr>
          <w:rFonts w:hint="eastAsia" w:eastAsia="仿宋_GB2312"/>
          <w:b/>
          <w:sz w:val="32"/>
          <w:szCs w:val="32"/>
        </w:rPr>
        <w:t>天然染料高压染色纺织品功能性评价及产业化示范</w:t>
      </w:r>
      <w:r>
        <w:rPr>
          <w:rFonts w:eastAsia="仿宋_GB2312"/>
          <w:b/>
          <w:sz w:val="32"/>
          <w:szCs w:val="32"/>
        </w:rPr>
        <w:t>。</w:t>
      </w:r>
      <w:r>
        <w:rPr>
          <w:rFonts w:hint="eastAsia" w:eastAsia="仿宋_GB2312"/>
          <w:sz w:val="32"/>
          <w:szCs w:val="32"/>
        </w:rPr>
        <w:t>明确天然染料功能活性成分、明晰高压染色工艺对活性成分的影响规律，建立完整的天然染料高压染色功能性纺织品评价体系。搭建染料提取与染色过程设备监控系统及执行控制系统，建成天然染料提取与染色规模化生产示范生产线</w:t>
      </w:r>
      <w:r>
        <w:rPr>
          <w:rFonts w:eastAsia="仿宋_GB2312"/>
          <w:sz w:val="32"/>
          <w:szCs w:val="32"/>
        </w:rPr>
        <w:t>。</w:t>
      </w:r>
    </w:p>
    <w:p w14:paraId="6077B8FC">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高压染色后天然染料中功能活性成分保留率≥80%，着色织物抗紫外线性能（UPF值）≥50（测试标准：</w:t>
      </w:r>
      <w:r>
        <w:rPr>
          <w:rFonts w:eastAsia="仿宋_GB2312"/>
          <w:sz w:val="32"/>
          <w:szCs w:val="32"/>
        </w:rPr>
        <w:t>GB/T18830-2009</w:t>
      </w:r>
      <w:r>
        <w:rPr>
          <w:rFonts w:hint="eastAsia" w:eastAsia="仿宋_GB2312"/>
          <w:sz w:val="32"/>
          <w:szCs w:val="32"/>
        </w:rPr>
        <w:t>），耐洗涤20次后功能性保留率≥80%（测试标准</w:t>
      </w:r>
      <w:r>
        <w:rPr>
          <w:rFonts w:eastAsia="仿宋_GB2312"/>
          <w:sz w:val="32"/>
          <w:szCs w:val="32"/>
        </w:rPr>
        <w:t>GB/T8629-2017</w:t>
      </w:r>
      <w:r>
        <w:rPr>
          <w:rFonts w:hint="eastAsia" w:eastAsia="仿宋_GB2312"/>
          <w:sz w:val="32"/>
          <w:szCs w:val="32"/>
        </w:rPr>
        <w:t>）。建成天然染料提取500吨/年示范线1条，建立天然染料染散纤维5000吨/年示范线1条</w:t>
      </w:r>
      <w:r>
        <w:rPr>
          <w:rFonts w:hint="eastAsia" w:eastAsia="仿宋_GB2312"/>
          <w:sz w:val="32"/>
          <w:szCs w:val="32"/>
          <w:lang w:eastAsia="zh-CN"/>
        </w:rPr>
        <w:t>。</w:t>
      </w:r>
      <w:r>
        <w:rPr>
          <w:rFonts w:hint="eastAsia" w:eastAsia="仿宋_GB2312"/>
          <w:sz w:val="32"/>
          <w:szCs w:val="32"/>
        </w:rPr>
        <w:t>建立天然染料高压染色纺织品功能性评价体系1套，产品符合GB18401标准，砷、铅、铬等有害重金属含量不超过1mg/kg，农药、含氯苯酚等可致癌物含量不超过0.5mg/kg</w:t>
      </w:r>
      <w:r>
        <w:rPr>
          <w:rFonts w:eastAsia="仿宋_GB2312"/>
          <w:sz w:val="32"/>
          <w:szCs w:val="32"/>
        </w:rPr>
        <w:t>。</w:t>
      </w:r>
    </w:p>
    <w:p w14:paraId="4E992B66">
      <w:pPr>
        <w:adjustRightInd w:val="0"/>
        <w:snapToGrid w:val="0"/>
        <w:spacing w:after="0" w:line="560" w:lineRule="exact"/>
        <w:ind w:firstLine="640" w:firstLineChars="200"/>
        <w:rPr>
          <w:rFonts w:eastAsia="楷体_GB2312"/>
          <w:bCs/>
          <w:kern w:val="0"/>
          <w:sz w:val="32"/>
          <w:szCs w:val="28"/>
        </w:rPr>
      </w:pPr>
      <w:r>
        <w:rPr>
          <w:rFonts w:eastAsia="楷体_GB2312"/>
          <w:bCs/>
          <w:kern w:val="0"/>
          <w:sz w:val="32"/>
          <w:szCs w:val="28"/>
        </w:rPr>
        <w:t>（二）</w:t>
      </w:r>
      <w:r>
        <w:rPr>
          <w:rFonts w:hint="eastAsia" w:eastAsia="楷体_GB2312"/>
          <w:bCs/>
          <w:kern w:val="0"/>
          <w:sz w:val="32"/>
          <w:szCs w:val="28"/>
        </w:rPr>
        <w:t>超高压技术在棉纤维高值化与再利用中的关键装备研发及示范</w:t>
      </w:r>
      <w:r>
        <w:rPr>
          <w:rFonts w:eastAsia="楷体_GB2312"/>
          <w:bCs/>
          <w:kern w:val="0"/>
          <w:sz w:val="32"/>
          <w:szCs w:val="28"/>
        </w:rPr>
        <w:t>（重点领域科技攻关</w:t>
      </w:r>
      <w:r>
        <w:rPr>
          <w:rFonts w:hint="eastAsia" w:eastAsia="楷体_GB2312"/>
          <w:bCs/>
          <w:kern w:val="0"/>
          <w:sz w:val="32"/>
          <w:szCs w:val="28"/>
          <w:lang w:eastAsia="zh-CN"/>
        </w:rPr>
        <w:t>计划</w:t>
      </w:r>
      <w:r>
        <w:rPr>
          <w:rFonts w:eastAsia="楷体_GB2312"/>
          <w:bCs/>
          <w:kern w:val="0"/>
          <w:sz w:val="32"/>
          <w:szCs w:val="28"/>
        </w:rPr>
        <w:t>项目）</w:t>
      </w:r>
    </w:p>
    <w:p w14:paraId="429C1527">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研究内容一：</w:t>
      </w:r>
      <w:r>
        <w:rPr>
          <w:rFonts w:hint="eastAsia" w:eastAsia="仿宋_GB2312"/>
          <w:b/>
          <w:bCs/>
          <w:sz w:val="32"/>
          <w:szCs w:val="32"/>
        </w:rPr>
        <w:t>超高压诱导棉纤维粉体化机理及粉体制备工艺研究</w:t>
      </w:r>
      <w:r>
        <w:rPr>
          <w:rFonts w:eastAsia="仿宋_GB2312"/>
          <w:b/>
          <w:sz w:val="32"/>
          <w:szCs w:val="32"/>
        </w:rPr>
        <w:t>。</w:t>
      </w:r>
      <w:r>
        <w:rPr>
          <w:rFonts w:hint="eastAsia" w:eastAsia="仿宋_GB2312"/>
          <w:sz w:val="32"/>
          <w:szCs w:val="32"/>
        </w:rPr>
        <w:t>针对废棉纤维杂质多，机械粉碎纤维结构破坏严重且粒度难以细化至微米级以下的技术瓶颈</w:t>
      </w:r>
      <w:r>
        <w:rPr>
          <w:rFonts w:hint="eastAsia" w:eastAsia="仿宋_GB2312"/>
          <w:sz w:val="32"/>
          <w:szCs w:val="32"/>
          <w:lang w:eastAsia="zh-CN"/>
        </w:rPr>
        <w:t>。</w:t>
      </w:r>
      <w:r>
        <w:rPr>
          <w:rFonts w:hint="eastAsia" w:eastAsia="仿宋_GB2312"/>
          <w:sz w:val="32"/>
          <w:szCs w:val="32"/>
        </w:rPr>
        <w:t>开展以超高压为先导的棉纤维粉体化机制与可控解离工艺研究</w:t>
      </w:r>
      <w:r>
        <w:rPr>
          <w:rFonts w:hint="eastAsia" w:eastAsia="仿宋_GB2312"/>
          <w:sz w:val="32"/>
          <w:szCs w:val="32"/>
          <w:lang w:eastAsia="zh-CN"/>
        </w:rPr>
        <w:t>，</w:t>
      </w:r>
      <w:r>
        <w:rPr>
          <w:rFonts w:hint="eastAsia" w:eastAsia="仿宋_GB2312"/>
          <w:sz w:val="32"/>
          <w:szCs w:val="32"/>
        </w:rPr>
        <w:t>揭示超高压（200-500MPa）“层间弱化-整体脆化”的诱导棉纤维粉体化机制，研究该工艺条件对棉纤维中天然杂质的剥离及对纤维间黏结物的解离效果。建立“超高压脆化-分级粉碎-精准分级”多级粉体化工艺，实现棉纤维超微粉体的可控制备</w:t>
      </w:r>
      <w:r>
        <w:rPr>
          <w:rFonts w:eastAsia="仿宋_GB2312"/>
          <w:sz w:val="32"/>
          <w:szCs w:val="32"/>
        </w:rPr>
        <w:t>。</w:t>
      </w:r>
    </w:p>
    <w:p w14:paraId="76D458E6">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建立超高压棉纤维粉体化工艺路线1条，形成工艺规范1套；制备超微棉纤维粉体D50粒径≤30um，并可实现制备D50≤10um的亚微米粉体。纤维原始结晶度保留率≥80%；获得棉纤维超微粉体产品规格≥3种（按粒径及应用领域区分）；发表高水平学术论文1-2篇</w:t>
      </w:r>
      <w:r>
        <w:rPr>
          <w:rFonts w:eastAsia="仿宋_GB2312"/>
          <w:sz w:val="32"/>
          <w:szCs w:val="32"/>
        </w:rPr>
        <w:t>。</w:t>
      </w:r>
    </w:p>
    <w:p w14:paraId="2F73257A">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研究内容二：</w:t>
      </w:r>
      <w:r>
        <w:rPr>
          <w:rFonts w:hint="eastAsia" w:eastAsia="仿宋_GB2312"/>
          <w:b/>
          <w:bCs/>
          <w:sz w:val="32"/>
          <w:szCs w:val="32"/>
        </w:rPr>
        <w:t>纤维物料超高压处理关键装备研制</w:t>
      </w:r>
      <w:r>
        <w:rPr>
          <w:rFonts w:eastAsia="仿宋_GB2312"/>
          <w:b/>
          <w:sz w:val="32"/>
          <w:szCs w:val="32"/>
        </w:rPr>
        <w:t>。</w:t>
      </w:r>
      <w:r>
        <w:rPr>
          <w:rFonts w:hint="eastAsia" w:eastAsia="仿宋_GB2312"/>
          <w:sz w:val="32"/>
          <w:szCs w:val="32"/>
        </w:rPr>
        <w:t>针对棉纤维韧性高，常规机械粉碎能耗大</w:t>
      </w:r>
      <w:r>
        <w:rPr>
          <w:rFonts w:hint="eastAsia" w:eastAsia="仿宋_GB2312"/>
          <w:sz w:val="32"/>
          <w:szCs w:val="32"/>
          <w:lang w:eastAsia="zh-CN"/>
        </w:rPr>
        <w:t>。</w:t>
      </w:r>
      <w:r>
        <w:rPr>
          <w:rFonts w:hint="eastAsia" w:eastAsia="仿宋_GB2312"/>
          <w:sz w:val="32"/>
          <w:szCs w:val="32"/>
        </w:rPr>
        <w:t>揭示纤维缠绕、团聚及壁面沉积的形成机理，研发适用于纤维悬浮体系的超高压处理成套装备。开发多级增压-保压-卸压时序智能控制系统</w:t>
      </w:r>
      <w:r>
        <w:rPr>
          <w:rFonts w:eastAsia="仿宋_GB2312"/>
          <w:sz w:val="32"/>
          <w:szCs w:val="32"/>
        </w:rPr>
        <w:t>。</w:t>
      </w:r>
    </w:p>
    <w:p w14:paraId="3EB241E2">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研制纤维物料超高压处理装备1套，最高工作压力≥400MPa（兼顾粉体化预处理需求），处理腔有效容积≥50L，设备密封寿命≥500h，输送流量≥15L/min，控制精度≤±1%，工作压力波动≤±2%，连续无故障运行时间≥72h，能耗较机械粉碎降低≥30%，纤维粉体回收率≥90%，制定企业标准≥1项</w:t>
      </w:r>
      <w:r>
        <w:rPr>
          <w:rFonts w:hint="eastAsia" w:eastAsia="仿宋_GB2312"/>
          <w:sz w:val="32"/>
          <w:szCs w:val="32"/>
          <w:lang w:eastAsia="zh-CN"/>
        </w:rPr>
        <w:t>。</w:t>
      </w:r>
      <w:r>
        <w:rPr>
          <w:rFonts w:hint="eastAsia" w:eastAsia="仿宋_GB2312"/>
          <w:sz w:val="32"/>
          <w:szCs w:val="32"/>
        </w:rPr>
        <w:t>发表高水平学术论文1-2篇</w:t>
      </w:r>
      <w:r>
        <w:rPr>
          <w:rFonts w:eastAsia="仿宋_GB2312"/>
          <w:sz w:val="32"/>
          <w:szCs w:val="32"/>
        </w:rPr>
        <w:t>。</w:t>
      </w:r>
    </w:p>
    <w:p w14:paraId="6C72EAA8">
      <w:pPr>
        <w:adjustRightInd w:val="0"/>
        <w:snapToGrid w:val="0"/>
        <w:spacing w:after="0" w:line="560" w:lineRule="exact"/>
        <w:ind w:firstLine="643" w:firstLineChars="200"/>
        <w:rPr>
          <w:rFonts w:eastAsia="仿宋_GB2312"/>
          <w:sz w:val="32"/>
          <w:szCs w:val="32"/>
        </w:rPr>
      </w:pPr>
      <w:r>
        <w:rPr>
          <w:rFonts w:eastAsia="仿宋_GB2312"/>
          <w:b/>
          <w:bCs/>
          <w:sz w:val="32"/>
          <w:szCs w:val="32"/>
        </w:rPr>
        <w:t>研究内容三：</w:t>
      </w:r>
      <w:r>
        <w:rPr>
          <w:rFonts w:hint="eastAsia" w:eastAsia="仿宋_GB2312"/>
          <w:b/>
          <w:bCs/>
          <w:sz w:val="32"/>
          <w:szCs w:val="32"/>
        </w:rPr>
        <w:t>超高压技术制备棉基高附加值新材料及示范线建设</w:t>
      </w:r>
      <w:r>
        <w:rPr>
          <w:rFonts w:eastAsia="仿宋_GB2312"/>
          <w:b/>
          <w:sz w:val="32"/>
          <w:szCs w:val="32"/>
        </w:rPr>
        <w:t>。</w:t>
      </w:r>
      <w:r>
        <w:rPr>
          <w:rFonts w:hint="eastAsia" w:eastAsia="仿宋_GB2312"/>
          <w:sz w:val="32"/>
          <w:szCs w:val="32"/>
        </w:rPr>
        <w:t>针对棉纤维粉体的高值利用，研发超高压辅助机械解纤制备纳米纤维素（CNF/CNC）的工艺，实现纳米纤维素的粒径可控解离与稳定分散</w:t>
      </w:r>
      <w:r>
        <w:rPr>
          <w:rFonts w:hint="eastAsia" w:eastAsia="仿宋_GB2312"/>
          <w:sz w:val="32"/>
          <w:szCs w:val="32"/>
          <w:lang w:eastAsia="zh-CN"/>
        </w:rPr>
        <w:t>，</w:t>
      </w:r>
      <w:r>
        <w:rPr>
          <w:rFonts w:hint="eastAsia" w:eastAsia="仿宋_GB2312"/>
          <w:sz w:val="32"/>
          <w:szCs w:val="32"/>
        </w:rPr>
        <w:t>制备超轻高比表面积纳米纤维素气凝胶材料。开发超高压致密化棉纤维增强可降解复合材料，制备高纤维含量、低孔隙率的复合材料板材或异型材。建设废棉纤维高值化利用示范生产线</w:t>
      </w:r>
      <w:r>
        <w:rPr>
          <w:rFonts w:eastAsia="仿宋_GB2312"/>
          <w:sz w:val="32"/>
          <w:szCs w:val="32"/>
        </w:rPr>
        <w:t>。</w:t>
      </w:r>
    </w:p>
    <w:p w14:paraId="05705718">
      <w:pPr>
        <w:adjustRightInd w:val="0"/>
        <w:snapToGrid w:val="0"/>
        <w:spacing w:after="0" w:line="560" w:lineRule="exact"/>
        <w:ind w:firstLine="643" w:firstLineChars="200"/>
        <w:rPr>
          <w:rFonts w:eastAsia="仿宋_GB2312"/>
          <w:sz w:val="32"/>
          <w:szCs w:val="32"/>
        </w:rPr>
      </w:pPr>
      <w:r>
        <w:rPr>
          <w:rFonts w:eastAsia="仿宋_GB2312"/>
          <w:b/>
          <w:bCs/>
          <w:sz w:val="32"/>
          <w:szCs w:val="32"/>
        </w:rPr>
        <w:t>考核指标：</w:t>
      </w:r>
      <w:r>
        <w:rPr>
          <w:rFonts w:hint="eastAsia" w:eastAsia="仿宋_GB2312"/>
          <w:sz w:val="32"/>
          <w:szCs w:val="32"/>
        </w:rPr>
        <w:t>制备CNF直径≤20nm、得率≥60%，CNC直径≤5nm、得率≥50%，气凝胶比表面积≥200m</w:t>
      </w:r>
      <w:r>
        <w:rPr>
          <w:rFonts w:eastAsia="仿宋_GB2312"/>
          <w:sz w:val="32"/>
          <w:szCs w:val="32"/>
        </w:rPr>
        <w:t>²</w:t>
      </w:r>
      <w:r>
        <w:rPr>
          <w:rFonts w:hint="eastAsia" w:eastAsia="仿宋_GB2312"/>
          <w:sz w:val="32"/>
          <w:szCs w:val="32"/>
        </w:rPr>
        <w:t>/g、密度≤0.05g/cm</w:t>
      </w:r>
      <w:r>
        <w:rPr>
          <w:rFonts w:eastAsia="仿宋_GB2312"/>
          <w:sz w:val="32"/>
          <w:szCs w:val="32"/>
        </w:rPr>
        <w:t>³</w:t>
      </w:r>
      <w:r>
        <w:rPr>
          <w:rFonts w:hint="eastAsia" w:ascii="仿宋_GB2312" w:hAnsi="仿宋_GB2312" w:eastAsia="仿宋_GB2312" w:cs="仿宋_GB2312"/>
          <w:sz w:val="32"/>
          <w:szCs w:val="32"/>
        </w:rPr>
        <w:t>，复合材料纤维含量＞</w:t>
      </w:r>
      <w:r>
        <w:rPr>
          <w:rFonts w:hint="eastAsia" w:eastAsia="仿宋_GB2312"/>
          <w:sz w:val="32"/>
          <w:szCs w:val="32"/>
        </w:rPr>
        <w:t>40%，孔隙率≤5%。开发废棉纤维回收制备纳米纤维素（CNF或CNC）、纳米纤维素气凝胶、棉纤维增强可降解复合材料等新产品≥3种。建成示范生产线1条，年处理废棉纤维能力≥100吨。制定团体、企业标准≥2项</w:t>
      </w:r>
      <w:r>
        <w:rPr>
          <w:rFonts w:eastAsia="仿宋_GB2312"/>
          <w:sz w:val="32"/>
          <w:szCs w:val="32"/>
        </w:rPr>
        <w:t>。</w:t>
      </w:r>
    </w:p>
    <w:p w14:paraId="2DBB05AB">
      <w:pPr>
        <w:adjustRightInd w:val="0"/>
        <w:snapToGrid w:val="0"/>
        <w:spacing w:after="0" w:line="560" w:lineRule="exact"/>
        <w:rPr>
          <w:rFonts w:eastAsia="黑体"/>
          <w:sz w:val="32"/>
          <w:szCs w:val="32"/>
        </w:rPr>
      </w:pPr>
      <w:bookmarkStart w:id="13" w:name="_GoBack"/>
      <w:bookmarkEnd w:id="13"/>
    </w:p>
    <w:sectPr>
      <w:footerReference r:id="rId5" w:type="default"/>
      <w:pgSz w:w="11906" w:h="16838"/>
      <w:pgMar w:top="2098" w:right="1474" w:bottom="1985" w:left="1588"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1776118"/>
    </w:sdtPr>
    <w:sdtEndPr>
      <w:rPr>
        <w:rFonts w:ascii="宋体" w:hAnsi="宋体"/>
        <w:sz w:val="32"/>
        <w:szCs w:val="32"/>
      </w:rPr>
    </w:sdtEndPr>
    <w:sdtContent>
      <w:p w14:paraId="65E2E605">
        <w:pPr>
          <w:pStyle w:val="6"/>
          <w:jc w:val="center"/>
          <w:rPr>
            <w:rFonts w:hint="eastAsia" w:ascii="宋体" w:hAnsi="宋体"/>
            <w:sz w:val="32"/>
            <w:szCs w:val="32"/>
          </w:rPr>
        </w:pPr>
        <w:r>
          <w:rPr>
            <w:rFonts w:ascii="宋体" w:hAnsi="宋体"/>
            <w:sz w:val="32"/>
            <w:szCs w:val="32"/>
          </w:rPr>
          <w:fldChar w:fldCharType="begin"/>
        </w:r>
        <w:r>
          <w:rPr>
            <w:rFonts w:ascii="宋体" w:hAnsi="宋体"/>
            <w:sz w:val="32"/>
            <w:szCs w:val="32"/>
          </w:rPr>
          <w:instrText xml:space="preserve">PAGE   \* MERGEFORMAT</w:instrText>
        </w:r>
        <w:r>
          <w:rPr>
            <w:rFonts w:ascii="宋体" w:hAnsi="宋体"/>
            <w:sz w:val="32"/>
            <w:szCs w:val="32"/>
          </w:rPr>
          <w:fldChar w:fldCharType="separate"/>
        </w:r>
        <w:r>
          <w:rPr>
            <w:rFonts w:ascii="宋体" w:hAnsi="宋体"/>
            <w:sz w:val="32"/>
            <w:szCs w:val="32"/>
            <w:lang w:val="zh-CN"/>
          </w:rPr>
          <w:t>2</w:t>
        </w:r>
        <w:r>
          <w:rPr>
            <w:rFonts w:ascii="宋体" w:hAnsi="宋体"/>
            <w:sz w:val="32"/>
            <w:szCs w:val="32"/>
          </w:rPr>
          <w:fldChar w:fldCharType="end"/>
        </w:r>
      </w:p>
    </w:sdtContent>
  </w:sdt>
  <w:p w14:paraId="1A7AC675">
    <w:pPr>
      <w:pStyle w:val="6"/>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4C3"/>
    <w:rsid w:val="000265E9"/>
    <w:rsid w:val="00040912"/>
    <w:rsid w:val="00051DD3"/>
    <w:rsid w:val="000D6010"/>
    <w:rsid w:val="00103475"/>
    <w:rsid w:val="00115C53"/>
    <w:rsid w:val="001321C3"/>
    <w:rsid w:val="0019457C"/>
    <w:rsid w:val="001C314E"/>
    <w:rsid w:val="001D09B8"/>
    <w:rsid w:val="00230D9B"/>
    <w:rsid w:val="002615AF"/>
    <w:rsid w:val="00285B26"/>
    <w:rsid w:val="002D5EEB"/>
    <w:rsid w:val="00307CC2"/>
    <w:rsid w:val="0035502B"/>
    <w:rsid w:val="00397222"/>
    <w:rsid w:val="00424935"/>
    <w:rsid w:val="0045304A"/>
    <w:rsid w:val="005304D3"/>
    <w:rsid w:val="00586F38"/>
    <w:rsid w:val="00591819"/>
    <w:rsid w:val="005B6FAE"/>
    <w:rsid w:val="0063622F"/>
    <w:rsid w:val="006819E0"/>
    <w:rsid w:val="006E3F2A"/>
    <w:rsid w:val="00761BF9"/>
    <w:rsid w:val="007B263B"/>
    <w:rsid w:val="00827142"/>
    <w:rsid w:val="00847D7E"/>
    <w:rsid w:val="00880878"/>
    <w:rsid w:val="008A7D2F"/>
    <w:rsid w:val="008C0785"/>
    <w:rsid w:val="008D1542"/>
    <w:rsid w:val="009044C3"/>
    <w:rsid w:val="00A16A5A"/>
    <w:rsid w:val="00A85436"/>
    <w:rsid w:val="00B23ACC"/>
    <w:rsid w:val="00B36896"/>
    <w:rsid w:val="00B50FEF"/>
    <w:rsid w:val="00B750EF"/>
    <w:rsid w:val="00B773C3"/>
    <w:rsid w:val="00BB7FE3"/>
    <w:rsid w:val="00BD7A77"/>
    <w:rsid w:val="00C6378D"/>
    <w:rsid w:val="00E35A58"/>
    <w:rsid w:val="00E47602"/>
    <w:rsid w:val="00E71510"/>
    <w:rsid w:val="00E843DA"/>
    <w:rsid w:val="00E858B1"/>
    <w:rsid w:val="00F511F7"/>
    <w:rsid w:val="00F870BF"/>
    <w:rsid w:val="00FC27EC"/>
    <w:rsid w:val="00FE6FED"/>
    <w:rsid w:val="1603605F"/>
    <w:rsid w:val="1F7073C9"/>
    <w:rsid w:val="3BD7CC4F"/>
    <w:rsid w:val="3DFFB247"/>
    <w:rsid w:val="4F5AED26"/>
    <w:rsid w:val="5BFFC9F2"/>
    <w:rsid w:val="5F3DA08F"/>
    <w:rsid w:val="5FEAF67B"/>
    <w:rsid w:val="6DDF01A4"/>
    <w:rsid w:val="6EFD2E1B"/>
    <w:rsid w:val="6F3B55C7"/>
    <w:rsid w:val="6F5EEB8B"/>
    <w:rsid w:val="6FBF17A8"/>
    <w:rsid w:val="6FFBE5ED"/>
    <w:rsid w:val="6FFDFFD5"/>
    <w:rsid w:val="7ADF570F"/>
    <w:rsid w:val="7EF79587"/>
    <w:rsid w:val="7F578F4B"/>
    <w:rsid w:val="7F7F8C9F"/>
    <w:rsid w:val="7FBF2539"/>
    <w:rsid w:val="7FBF9755"/>
    <w:rsid w:val="7FD797F4"/>
    <w:rsid w:val="7FDACAD4"/>
    <w:rsid w:val="7FEC9119"/>
    <w:rsid w:val="7FFFACAF"/>
    <w:rsid w:val="88D3ABAF"/>
    <w:rsid w:val="BBB900AD"/>
    <w:rsid w:val="BDCF3117"/>
    <w:rsid w:val="BEB52FE1"/>
    <w:rsid w:val="BF9EFE2C"/>
    <w:rsid w:val="BFDD5DA0"/>
    <w:rsid w:val="BFEF0CD0"/>
    <w:rsid w:val="BFEF1F21"/>
    <w:rsid w:val="C5FF5E69"/>
    <w:rsid w:val="D7BBBC33"/>
    <w:rsid w:val="DAE61C7E"/>
    <w:rsid w:val="DF181A74"/>
    <w:rsid w:val="E7F795AE"/>
    <w:rsid w:val="EDF79C69"/>
    <w:rsid w:val="EEEF6478"/>
    <w:rsid w:val="EFB5E060"/>
    <w:rsid w:val="EFFFC5A6"/>
    <w:rsid w:val="F57F7359"/>
    <w:rsid w:val="F73B1F60"/>
    <w:rsid w:val="F76FF78E"/>
    <w:rsid w:val="FA3F12DD"/>
    <w:rsid w:val="FBFD08A5"/>
    <w:rsid w:val="FEDF473E"/>
    <w:rsid w:val="FF3B758F"/>
    <w:rsid w:val="FF3F0FCB"/>
    <w:rsid w:val="FFAD501F"/>
    <w:rsid w:val="FFE97462"/>
    <w:rsid w:val="FFFFD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7">
    <w:name w:val="heading 1"/>
    <w:basedOn w:val="1"/>
    <w:next w:val="1"/>
    <w:link w:val="24"/>
    <w:qFormat/>
    <w:uiPriority w:val="9"/>
    <w:pPr>
      <w:keepNext/>
      <w:keepLines/>
      <w:spacing w:before="480" w:after="80"/>
      <w:jc w:val="left"/>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8">
    <w:name w:val="heading 2"/>
    <w:basedOn w:val="1"/>
    <w:next w:val="1"/>
    <w:link w:val="25"/>
    <w:semiHidden/>
    <w:unhideWhenUsed/>
    <w:qFormat/>
    <w:uiPriority w:val="9"/>
    <w:pPr>
      <w:keepNext/>
      <w:keepLines/>
      <w:spacing w:before="160" w:after="80"/>
      <w:jc w:val="left"/>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9">
    <w:name w:val="heading 3"/>
    <w:basedOn w:val="1"/>
    <w:next w:val="1"/>
    <w:link w:val="26"/>
    <w:semiHidden/>
    <w:unhideWhenUsed/>
    <w:qFormat/>
    <w:uiPriority w:val="9"/>
    <w:pPr>
      <w:keepNext/>
      <w:keepLines/>
      <w:spacing w:before="160" w:after="80"/>
      <w:jc w:val="left"/>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10">
    <w:name w:val="heading 4"/>
    <w:basedOn w:val="1"/>
    <w:next w:val="1"/>
    <w:link w:val="27"/>
    <w:semiHidden/>
    <w:unhideWhenUsed/>
    <w:qFormat/>
    <w:uiPriority w:val="9"/>
    <w:pPr>
      <w:keepNext/>
      <w:keepLines/>
      <w:spacing w:before="80" w:after="40"/>
      <w:jc w:val="left"/>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11">
    <w:name w:val="heading 5"/>
    <w:basedOn w:val="1"/>
    <w:next w:val="1"/>
    <w:link w:val="28"/>
    <w:semiHidden/>
    <w:unhideWhenUsed/>
    <w:qFormat/>
    <w:uiPriority w:val="9"/>
    <w:pPr>
      <w:keepNext/>
      <w:keepLines/>
      <w:spacing w:before="80" w:after="40"/>
      <w:jc w:val="left"/>
      <w:outlineLvl w:val="4"/>
    </w:pPr>
    <w:rPr>
      <w:rFonts w:asciiTheme="minorHAnsi" w:hAnsiTheme="minorHAnsi" w:eastAsiaTheme="minorEastAsia" w:cstheme="majorBidi"/>
      <w:color w:val="104862" w:themeColor="accent1" w:themeShade="BF"/>
      <w:sz w:val="24"/>
      <w14:ligatures w14:val="standardContextual"/>
    </w:rPr>
  </w:style>
  <w:style w:type="paragraph" w:styleId="12">
    <w:name w:val="heading 6"/>
    <w:basedOn w:val="1"/>
    <w:next w:val="1"/>
    <w:link w:val="29"/>
    <w:semiHidden/>
    <w:unhideWhenUsed/>
    <w:qFormat/>
    <w:uiPriority w:val="9"/>
    <w:pPr>
      <w:keepNext/>
      <w:keepLines/>
      <w:spacing w:before="40" w:after="0"/>
      <w:jc w:val="left"/>
      <w:outlineLvl w:val="5"/>
    </w:pPr>
    <w:rPr>
      <w:rFonts w:asciiTheme="minorHAnsi" w:hAnsiTheme="minorHAnsi" w:eastAsiaTheme="minorEastAsia" w:cstheme="majorBidi"/>
      <w:b/>
      <w:bCs/>
      <w:color w:val="104862" w:themeColor="accent1" w:themeShade="BF"/>
      <w:sz w:val="22"/>
      <w14:ligatures w14:val="standardContextual"/>
    </w:rPr>
  </w:style>
  <w:style w:type="paragraph" w:styleId="13">
    <w:name w:val="heading 7"/>
    <w:basedOn w:val="1"/>
    <w:next w:val="1"/>
    <w:link w:val="30"/>
    <w:semiHidden/>
    <w:unhideWhenUsed/>
    <w:qFormat/>
    <w:uiPriority w:val="9"/>
    <w:pPr>
      <w:keepNext/>
      <w:keepLines/>
      <w:spacing w:before="40" w:after="0"/>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14">
    <w:name w:val="heading 8"/>
    <w:basedOn w:val="1"/>
    <w:next w:val="1"/>
    <w:link w:val="31"/>
    <w:semiHidden/>
    <w:unhideWhenUsed/>
    <w:qFormat/>
    <w:uiPriority w:val="9"/>
    <w:pPr>
      <w:keepNext/>
      <w:keepLines/>
      <w:spacing w:after="0"/>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5">
    <w:name w:val="heading 9"/>
    <w:basedOn w:val="1"/>
    <w:next w:val="1"/>
    <w:link w:val="32"/>
    <w:semiHidden/>
    <w:unhideWhenUsed/>
    <w:qFormat/>
    <w:uiPriority w:val="9"/>
    <w:pPr>
      <w:keepNext/>
      <w:keepLines/>
      <w:spacing w:after="0"/>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45"/>
    <w:unhideWhenUsed/>
    <w:qFormat/>
    <w:uiPriority w:val="99"/>
    <w:pPr>
      <w:spacing w:after="0" w:line="360" w:lineRule="auto"/>
      <w:ind w:firstLine="420" w:firstLineChars="200"/>
    </w:pPr>
    <w:rPr>
      <w:rFonts w:ascii="仿宋_GB2312" w:eastAsia="仿宋_GB2312"/>
      <w:color w:val="000000"/>
      <w:kern w:val="0"/>
      <w:sz w:val="32"/>
      <w:szCs w:val="32"/>
    </w:rPr>
  </w:style>
  <w:style w:type="paragraph" w:styleId="3">
    <w:name w:val="Body Text Indent"/>
    <w:basedOn w:val="1"/>
    <w:link w:val="44"/>
    <w:semiHidden/>
    <w:unhideWhenUsed/>
    <w:qFormat/>
    <w:uiPriority w:val="99"/>
    <w:pPr>
      <w:spacing w:after="120"/>
      <w:ind w:left="420" w:leftChars="200"/>
    </w:pPr>
  </w:style>
  <w:style w:type="paragraph" w:styleId="4">
    <w:name w:val="Body Text First Indent"/>
    <w:basedOn w:val="5"/>
    <w:next w:val="6"/>
    <w:link w:val="47"/>
    <w:qFormat/>
    <w:uiPriority w:val="0"/>
    <w:pPr>
      <w:spacing w:after="160"/>
      <w:ind w:left="117" w:firstLine="420" w:firstLineChars="100"/>
    </w:pPr>
    <w:rPr>
      <w:rFonts w:ascii="仿宋_GB2312" w:hAnsi="仿宋_GB2312"/>
      <w:lang w:val="zh-CN"/>
    </w:rPr>
  </w:style>
  <w:style w:type="paragraph" w:styleId="5">
    <w:name w:val="Body Text"/>
    <w:basedOn w:val="1"/>
    <w:link w:val="46"/>
    <w:unhideWhenUsed/>
    <w:qFormat/>
    <w:uiPriority w:val="0"/>
    <w:pPr>
      <w:spacing w:after="120"/>
    </w:pPr>
  </w:style>
  <w:style w:type="paragraph" w:styleId="6">
    <w:name w:val="footer"/>
    <w:basedOn w:val="1"/>
    <w:link w:val="43"/>
    <w:unhideWhenUsed/>
    <w:qFormat/>
    <w:uiPriority w:val="99"/>
    <w:pPr>
      <w:tabs>
        <w:tab w:val="center" w:pos="4153"/>
        <w:tab w:val="right" w:pos="8306"/>
      </w:tabs>
      <w:snapToGrid w:val="0"/>
      <w:spacing w:line="240" w:lineRule="auto"/>
      <w:jc w:val="left"/>
    </w:pPr>
    <w:rPr>
      <w:rFonts w:asciiTheme="minorHAnsi" w:hAnsiTheme="minorHAnsi" w:eastAsiaTheme="minorEastAsia" w:cstheme="minorBidi"/>
      <w:sz w:val="18"/>
      <w:szCs w:val="18"/>
      <w14:ligatures w14:val="standardContextual"/>
    </w:rPr>
  </w:style>
  <w:style w:type="paragraph" w:styleId="16">
    <w:name w:val="annotation text"/>
    <w:basedOn w:val="1"/>
    <w:link w:val="50"/>
    <w:semiHidden/>
    <w:unhideWhenUsed/>
    <w:qFormat/>
    <w:uiPriority w:val="99"/>
    <w:pPr>
      <w:jc w:val="left"/>
    </w:pPr>
  </w:style>
  <w:style w:type="paragraph" w:styleId="17">
    <w:name w:val="header"/>
    <w:basedOn w:val="1"/>
    <w:link w:val="42"/>
    <w:unhideWhenUsed/>
    <w:qFormat/>
    <w:uiPriority w:val="99"/>
    <w:pPr>
      <w:tabs>
        <w:tab w:val="center" w:pos="4153"/>
        <w:tab w:val="right" w:pos="8306"/>
      </w:tabs>
      <w:snapToGrid w:val="0"/>
      <w:spacing w:line="240" w:lineRule="auto"/>
      <w:jc w:val="center"/>
    </w:pPr>
    <w:rPr>
      <w:rFonts w:asciiTheme="minorHAnsi" w:hAnsiTheme="minorHAnsi" w:eastAsiaTheme="minorEastAsia" w:cstheme="minorBidi"/>
      <w:sz w:val="18"/>
      <w:szCs w:val="18"/>
      <w14:ligatures w14:val="standardContextual"/>
    </w:rPr>
  </w:style>
  <w:style w:type="paragraph" w:styleId="18">
    <w:name w:val="Subtitle"/>
    <w:basedOn w:val="1"/>
    <w:next w:val="1"/>
    <w:link w:val="34"/>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9">
    <w:name w:val="Title"/>
    <w:basedOn w:val="1"/>
    <w:next w:val="1"/>
    <w:link w:val="33"/>
    <w:qFormat/>
    <w:uiPriority w:val="10"/>
    <w:pPr>
      <w:spacing w:after="80" w:line="240" w:lineRule="auto"/>
      <w:contextualSpacing/>
      <w:jc w:val="center"/>
    </w:pPr>
    <w:rPr>
      <w:rFonts w:asciiTheme="majorHAnsi" w:hAnsiTheme="majorHAnsi" w:eastAsiaTheme="majorEastAsia" w:cstheme="majorBidi"/>
      <w:spacing w:val="-10"/>
      <w:kern w:val="28"/>
      <w:sz w:val="56"/>
      <w:szCs w:val="56"/>
      <w14:ligatures w14:val="standardContextual"/>
    </w:rPr>
  </w:style>
  <w:style w:type="paragraph" w:styleId="20">
    <w:name w:val="annotation subject"/>
    <w:basedOn w:val="16"/>
    <w:next w:val="16"/>
    <w:link w:val="51"/>
    <w:semiHidden/>
    <w:unhideWhenUsed/>
    <w:qFormat/>
    <w:uiPriority w:val="99"/>
    <w:rPr>
      <w:b/>
      <w:bCs/>
    </w:rPr>
  </w:style>
  <w:style w:type="character" w:styleId="23">
    <w:name w:val="annotation reference"/>
    <w:basedOn w:val="22"/>
    <w:semiHidden/>
    <w:unhideWhenUsed/>
    <w:qFormat/>
    <w:uiPriority w:val="99"/>
    <w:rPr>
      <w:sz w:val="21"/>
      <w:szCs w:val="21"/>
    </w:rPr>
  </w:style>
  <w:style w:type="character" w:customStyle="1" w:styleId="24">
    <w:name w:val="标题 1 字符"/>
    <w:basedOn w:val="22"/>
    <w:link w:val="7"/>
    <w:qFormat/>
    <w:uiPriority w:val="9"/>
    <w:rPr>
      <w:rFonts w:asciiTheme="majorHAnsi" w:hAnsiTheme="majorHAnsi" w:eastAsiaTheme="majorEastAsia" w:cstheme="majorBidi"/>
      <w:color w:val="104862" w:themeColor="accent1" w:themeShade="BF"/>
      <w:sz w:val="48"/>
      <w:szCs w:val="48"/>
    </w:rPr>
  </w:style>
  <w:style w:type="character" w:customStyle="1" w:styleId="25">
    <w:name w:val="标题 2 字符"/>
    <w:basedOn w:val="22"/>
    <w:link w:val="8"/>
    <w:semiHidden/>
    <w:qFormat/>
    <w:uiPriority w:val="9"/>
    <w:rPr>
      <w:rFonts w:asciiTheme="majorHAnsi" w:hAnsiTheme="majorHAnsi" w:eastAsiaTheme="majorEastAsia" w:cstheme="majorBidi"/>
      <w:color w:val="104862" w:themeColor="accent1" w:themeShade="BF"/>
      <w:sz w:val="40"/>
      <w:szCs w:val="40"/>
    </w:rPr>
  </w:style>
  <w:style w:type="character" w:customStyle="1" w:styleId="26">
    <w:name w:val="标题 3 字符"/>
    <w:basedOn w:val="22"/>
    <w:link w:val="9"/>
    <w:semiHidden/>
    <w:qFormat/>
    <w:uiPriority w:val="9"/>
    <w:rPr>
      <w:rFonts w:asciiTheme="majorHAnsi" w:hAnsiTheme="majorHAnsi" w:eastAsiaTheme="majorEastAsia" w:cstheme="majorBidi"/>
      <w:color w:val="104862" w:themeColor="accent1" w:themeShade="BF"/>
      <w:sz w:val="32"/>
      <w:szCs w:val="32"/>
    </w:rPr>
  </w:style>
  <w:style w:type="character" w:customStyle="1" w:styleId="27">
    <w:name w:val="标题 4 字符"/>
    <w:basedOn w:val="22"/>
    <w:link w:val="10"/>
    <w:semiHidden/>
    <w:qFormat/>
    <w:uiPriority w:val="9"/>
    <w:rPr>
      <w:rFonts w:cstheme="majorBidi"/>
      <w:color w:val="104862" w:themeColor="accent1" w:themeShade="BF"/>
      <w:sz w:val="28"/>
      <w:szCs w:val="28"/>
    </w:rPr>
  </w:style>
  <w:style w:type="character" w:customStyle="1" w:styleId="28">
    <w:name w:val="标题 5 字符"/>
    <w:basedOn w:val="22"/>
    <w:link w:val="11"/>
    <w:semiHidden/>
    <w:qFormat/>
    <w:uiPriority w:val="9"/>
    <w:rPr>
      <w:rFonts w:cstheme="majorBidi"/>
      <w:color w:val="104862" w:themeColor="accent1" w:themeShade="BF"/>
      <w:sz w:val="24"/>
    </w:rPr>
  </w:style>
  <w:style w:type="character" w:customStyle="1" w:styleId="29">
    <w:name w:val="标题 6 字符"/>
    <w:basedOn w:val="22"/>
    <w:link w:val="12"/>
    <w:semiHidden/>
    <w:qFormat/>
    <w:uiPriority w:val="9"/>
    <w:rPr>
      <w:rFonts w:cstheme="majorBidi"/>
      <w:b/>
      <w:bCs/>
      <w:color w:val="104862" w:themeColor="accent1" w:themeShade="BF"/>
    </w:rPr>
  </w:style>
  <w:style w:type="character" w:customStyle="1" w:styleId="30">
    <w:name w:val="标题 7 字符"/>
    <w:basedOn w:val="22"/>
    <w:link w:val="13"/>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2"/>
    <w:link w:val="14"/>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2"/>
    <w:link w:val="15"/>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2"/>
    <w:link w:val="19"/>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2"/>
    <w:link w:val="18"/>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6">
    <w:name w:val="引用 字符"/>
    <w:basedOn w:val="22"/>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34"/>
    <w:pPr>
      <w:ind w:left="720"/>
      <w:contextualSpacing/>
      <w:jc w:val="left"/>
    </w:pPr>
    <w:rPr>
      <w:rFonts w:asciiTheme="minorHAnsi" w:hAnsiTheme="minorHAnsi" w:eastAsiaTheme="minorEastAsia" w:cstheme="minorBidi"/>
      <w:sz w:val="22"/>
      <w14:ligatures w14:val="standardContextual"/>
    </w:rPr>
  </w:style>
  <w:style w:type="character" w:customStyle="1" w:styleId="38">
    <w:name w:val="明显强调1"/>
    <w:basedOn w:val="22"/>
    <w:qFormat/>
    <w:uiPriority w:val="21"/>
    <w:rPr>
      <w:i/>
      <w:iCs/>
      <w:color w:val="104862" w:themeColor="accent1" w:themeShade="BF"/>
    </w:rPr>
  </w:style>
  <w:style w:type="paragraph" w:styleId="39">
    <w:name w:val="Intense Quote"/>
    <w:basedOn w:val="1"/>
    <w:next w:val="1"/>
    <w:link w:val="40"/>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 w:val="22"/>
      <w14:ligatures w14:val="standardContextual"/>
    </w:rPr>
  </w:style>
  <w:style w:type="character" w:customStyle="1" w:styleId="40">
    <w:name w:val="明显引用 字符"/>
    <w:basedOn w:val="22"/>
    <w:link w:val="39"/>
    <w:qFormat/>
    <w:uiPriority w:val="30"/>
    <w:rPr>
      <w:i/>
      <w:iCs/>
      <w:color w:val="104862" w:themeColor="accent1" w:themeShade="BF"/>
    </w:rPr>
  </w:style>
  <w:style w:type="character" w:customStyle="1" w:styleId="41">
    <w:name w:val="明显参考1"/>
    <w:basedOn w:val="22"/>
    <w:qFormat/>
    <w:uiPriority w:val="32"/>
    <w:rPr>
      <w:b/>
      <w:bCs/>
      <w:smallCaps/>
      <w:color w:val="104862" w:themeColor="accent1" w:themeShade="BF"/>
      <w:spacing w:val="5"/>
    </w:rPr>
  </w:style>
  <w:style w:type="character" w:customStyle="1" w:styleId="42">
    <w:name w:val="页眉 字符"/>
    <w:basedOn w:val="22"/>
    <w:link w:val="17"/>
    <w:qFormat/>
    <w:uiPriority w:val="99"/>
    <w:rPr>
      <w:sz w:val="18"/>
      <w:szCs w:val="18"/>
    </w:rPr>
  </w:style>
  <w:style w:type="character" w:customStyle="1" w:styleId="43">
    <w:name w:val="页脚 字符"/>
    <w:basedOn w:val="22"/>
    <w:link w:val="6"/>
    <w:qFormat/>
    <w:uiPriority w:val="99"/>
    <w:rPr>
      <w:sz w:val="18"/>
      <w:szCs w:val="18"/>
    </w:rPr>
  </w:style>
  <w:style w:type="character" w:customStyle="1" w:styleId="44">
    <w:name w:val="正文文本缩进 字符"/>
    <w:basedOn w:val="22"/>
    <w:link w:val="3"/>
    <w:semiHidden/>
    <w:qFormat/>
    <w:uiPriority w:val="99"/>
    <w:rPr>
      <w:rFonts w:ascii="Times New Roman" w:hAnsi="Times New Roman" w:eastAsia="宋体" w:cs="Times New Roman"/>
      <w:sz w:val="21"/>
      <w14:ligatures w14:val="none"/>
    </w:rPr>
  </w:style>
  <w:style w:type="character" w:customStyle="1" w:styleId="45">
    <w:name w:val="正文文本首行缩进 2 字符"/>
    <w:basedOn w:val="44"/>
    <w:link w:val="2"/>
    <w:qFormat/>
    <w:uiPriority w:val="99"/>
    <w:rPr>
      <w:rFonts w:ascii="仿宋_GB2312" w:hAnsi="Times New Roman" w:eastAsia="仿宋_GB2312" w:cs="Times New Roman"/>
      <w:color w:val="000000"/>
      <w:kern w:val="0"/>
      <w:sz w:val="32"/>
      <w:szCs w:val="32"/>
      <w14:ligatures w14:val="none"/>
    </w:rPr>
  </w:style>
  <w:style w:type="character" w:customStyle="1" w:styleId="46">
    <w:name w:val="正文文本 字符"/>
    <w:basedOn w:val="22"/>
    <w:link w:val="5"/>
    <w:semiHidden/>
    <w:qFormat/>
    <w:uiPriority w:val="99"/>
    <w:rPr>
      <w:rFonts w:ascii="Times New Roman" w:hAnsi="Times New Roman" w:eastAsia="宋体" w:cs="Times New Roman"/>
      <w:sz w:val="21"/>
      <w14:ligatures w14:val="none"/>
    </w:rPr>
  </w:style>
  <w:style w:type="character" w:customStyle="1" w:styleId="47">
    <w:name w:val="正文文本首行缩进 字符"/>
    <w:basedOn w:val="46"/>
    <w:link w:val="4"/>
    <w:qFormat/>
    <w:uiPriority w:val="0"/>
    <w:rPr>
      <w:rFonts w:ascii="仿宋_GB2312" w:hAnsi="仿宋_GB2312" w:eastAsia="宋体" w:cs="Times New Roman"/>
      <w:sz w:val="21"/>
      <w:lang w:val="zh-CN"/>
      <w14:ligatures w14:val="none"/>
    </w:rPr>
  </w:style>
  <w:style w:type="paragraph" w:customStyle="1" w:styleId="48">
    <w:name w:val="正文文本首行缩进 21"/>
    <w:qFormat/>
    <w:uiPriority w:val="0"/>
    <w:pPr>
      <w:widowControl w:val="0"/>
      <w:ind w:firstLine="420" w:firstLineChars="200"/>
    </w:pPr>
    <w:rPr>
      <w:rFonts w:ascii="Calibri" w:hAnsi="Calibri" w:eastAsia="宋体" w:cs="Times New Roman"/>
      <w:kern w:val="2"/>
      <w:sz w:val="21"/>
      <w:szCs w:val="24"/>
      <w:lang w:val="en-US" w:eastAsia="zh-CN" w:bidi="ar-SA"/>
    </w:rPr>
  </w:style>
  <w:style w:type="paragraph" w:customStyle="1" w:styleId="49">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50">
    <w:name w:val="批注文字 字符"/>
    <w:basedOn w:val="22"/>
    <w:link w:val="16"/>
    <w:semiHidden/>
    <w:qFormat/>
    <w:uiPriority w:val="99"/>
    <w:rPr>
      <w:rFonts w:ascii="Times New Roman" w:hAnsi="Times New Roman" w:eastAsia="宋体" w:cs="Times New Roman"/>
      <w:kern w:val="2"/>
      <w:sz w:val="21"/>
      <w:szCs w:val="24"/>
    </w:rPr>
  </w:style>
  <w:style w:type="character" w:customStyle="1" w:styleId="51">
    <w:name w:val="批注主题 字符"/>
    <w:basedOn w:val="50"/>
    <w:link w:val="20"/>
    <w:semiHidden/>
    <w:qFormat/>
    <w:uiPriority w:val="99"/>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8799</Words>
  <Characters>9356</Characters>
  <Lines>97</Lines>
  <Paragraphs>27</Paragraphs>
  <TotalTime>24</TotalTime>
  <ScaleCrop>false</ScaleCrop>
  <LinksUpToDate>false</LinksUpToDate>
  <CharactersWithSpaces>9356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2026-08-21T09:32:00Z</dcterms:created>
  <dc:creator>蒙亚琦</dc:creator>
  <cp:lastModifiedBy>四月</cp:lastModifiedBy>
  <cp:lastPrinted>2026-08-21T19:06:00Z</cp:lastPrinted>
  <dcterms:modified xsi:type="dcterms:W3CDTF">2026-08-21T12:30:31Z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eyJoZGlkIjoiMDE5NmE4ZWMyYjFhM2Y3MGFmNGM3Nzk5Y2UxOGZiOGQiLCJ1c2VySWQiOiIyOTc2MjMxOTEifQ==</vt:lpwstr>
  </property>
  <property fmtid="{D5CDD505-2E9C-101B-9397-08002B2CF9AE}" pid="4" name="ICV">
    <vt:lpwstr>34D5EC6B01494680914CDBCC7875313D_12</vt:lpwstr>
  </property>
</Properties>
</file>