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10</w:t>
      </w:r>
    </w:p>
    <w:p>
      <w:pPr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兵团技术创新中心名单</w:t>
      </w:r>
    </w:p>
    <w:bookmarkEnd w:id="0"/>
    <w:p>
      <w:pPr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tbl>
      <w:tblPr>
        <w:tblStyle w:val="4"/>
        <w:tblW w:w="8911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99"/>
        <w:gridCol w:w="40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兵团农机装备技术创新中心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新疆天鹅现代农业机械装备有限公司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兵团兽用生物制品技术创新中心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天康生物制药有限公司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兵团南疆特色林果技术创新中心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塔里木大学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兵团软件与数字技术创新中心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新疆数字兵团信息产业发展有限责任公司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兵团农业水肥高效关键装备技术创新中心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石河子大学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兵团乳业技术创新中心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新疆天润生物科技股份有限公司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兵团智慧农场数字化装备技术创新中心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石河子大学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兵团棉花技术创新中心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新疆农垦科学院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兵团棉花加工副产物资源化利用技术创新中心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新疆希普生物科技股份有限公司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兵团硅基新材料技术创新中心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新疆西部合盛硅业有限公司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兵团混凝土外加剂技术创新中心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五家渠格辉新材料有限责任公司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兵团非水介质印染技术创新中心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新疆绿宇清纺织科技有限公司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兵团高效节水技术创新中心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新疆天业节水灌溉股份有限公司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兵团加工番茄技术创新中心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中基健康产业股份有限公司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兵团光伏新材料技术创新中心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新疆大全新能源股份有限公司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兵团大宗固废高效处置与低碳建材技术创新中心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新疆越隆达再生资源科技有限公司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兵团酵母及其衍生物技术创新中心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可克达拉安琪酵母有限公司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兵团铝基功能材料技术创新中心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石河子众和新材料有限公司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兵团南疆棉纺织技术创新中心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新疆东纯兴纺织有限公司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兵团环境治理与生态修复技术创新中心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新疆兵团勘测设计院集团股份有限公司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兵团红花生物医药技术创新中心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石河子大学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兵团现代中药技术创新中心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新疆华世丹药业股份有限公司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兵团高精度室内外一体化定位技术创新中心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石河子大学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兵团果蔬加工技术创新中心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新疆中新建农牧有限责任公司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兵团生猪产业技术创新中心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新疆泰昆农牧科技有限责任公司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兵团现代煤化工与煤基新材料技术创新中心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新疆新业能源化工有限责任公司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兵团加工辣椒技术创新中心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新疆天椒红安种业科技股份有限公司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兵团油气资源勘查与开发利用技术创新中心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新疆中新建能源矿业有限责任公司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兵团水利工程技术创新中心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新疆北方建设集团有限公司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兵团动物营养与发酵饲料技术创新中心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新疆天康饲料有限公司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兵团特色乳制品加工技术创新中心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新疆石河子花园乳业有限公司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兵团蛋鸡健康养殖技术创新中心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val="en-US" w:eastAsia="zh-CN" w:bidi="ar"/>
              </w:rPr>
              <w:t>图木舒克市丛原谷农牧业有限责任公司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2123527548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9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1D635"/>
    <w:rsid w:val="4EFD4A85"/>
    <w:rsid w:val="50CD5D10"/>
    <w:rsid w:val="53EE2D6D"/>
    <w:rsid w:val="7FCB59DE"/>
    <w:rsid w:val="7FFAB6CF"/>
    <w:rsid w:val="CBED8130"/>
    <w:rsid w:val="CDF94BAB"/>
    <w:rsid w:val="DEF1D635"/>
    <w:rsid w:val="E7F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2025-07-09T11:32:00Z</dcterms:created>
  <dc:creator> </dc:creator>
  <cp:lastModifiedBy> </cp:lastModifiedBy>
  <dcterms:modified xsi:type="dcterms:W3CDTF">2025-07-09T11:47:21Z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