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2022年度科学技术奖评审答辩时间表（种植业组</w:t>
      </w:r>
      <w:r>
        <w:rPr>
          <w:rFonts w:hint="default" w:ascii="Times New Roman" w:hAnsi="Times New Roman" w:eastAsia="方正小标宋_GBK" w:cs="Times New Roman"/>
          <w:sz w:val="36"/>
          <w:szCs w:val="36"/>
          <w:lang w:val="en-US" w:eastAsia="zh-CN"/>
        </w:rPr>
        <w:t>20项</w:t>
      </w:r>
      <w:r>
        <w:rPr>
          <w:rFonts w:hint="default" w:ascii="Times New Roman" w:hAnsi="Times New Roman" w:eastAsia="方正小标宋_GBK" w:cs="Times New Roman"/>
          <w:sz w:val="36"/>
          <w:szCs w:val="36"/>
        </w:rPr>
        <w:t>）</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3177"/>
        <w:gridCol w:w="1443"/>
        <w:gridCol w:w="1443"/>
        <w:gridCol w:w="3497"/>
        <w:gridCol w:w="2154"/>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8" w:space="0"/>
              <w:left w:val="single" w:color="000000" w:sz="8"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序号</w:t>
            </w:r>
          </w:p>
        </w:tc>
        <w:tc>
          <w:tcPr>
            <w:tcW w:w="317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项目名称</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评审类别</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提名等级</w:t>
            </w:r>
          </w:p>
        </w:tc>
        <w:tc>
          <w:tcPr>
            <w:tcW w:w="349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第一完成单位</w:t>
            </w:r>
          </w:p>
        </w:tc>
        <w:tc>
          <w:tcPr>
            <w:tcW w:w="2154"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提名单位</w:t>
            </w:r>
            <w:r>
              <w:rPr>
                <w:rFonts w:hint="default" w:ascii="Times New Roman" w:hAnsi="Times New Roman" w:cs="Times New Roman"/>
                <w:lang w:val="en-US" w:eastAsia="zh-CN"/>
              </w:rPr>
              <w:t>（专家）</w:t>
            </w:r>
          </w:p>
        </w:tc>
        <w:tc>
          <w:tcPr>
            <w:tcW w:w="1719"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答辩时间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2023年1月11日上午（第一会议室）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天山雪莲水孔蛋白SiPIP2;7基因显著提高作物的水分利用和光合效率生理机制研究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10:30-11:00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棉花—黄萎病菌的互作机制与干预</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11:00-11:30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3</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新疆西南高山植物物种多样性与种质资源调查研究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11:30-12:00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4</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新疆主要落叶果树生长数值模拟及遥感同化机理与方法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塔里木大学</w:t>
            </w:r>
          </w:p>
        </w:tc>
        <w:tc>
          <w:tcPr>
            <w:tcW w:w="215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塔里木大学</w:t>
            </w:r>
          </w:p>
        </w:tc>
        <w:tc>
          <w:tcPr>
            <w:tcW w:w="171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12:00-12:30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5</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塔里木盆地典型荒漠植物及其抗逆基因的环境适应性评价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12:30-13:00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6</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优质抗旱棉花种质创新与育种应用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13:00-13:30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7</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功能生物有机肥及施用技术研究与规模化应用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13:30-14:00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2023年1月11日下午（第一会议室）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8</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基于兵团农业水价改革的灌区用水精准调控关键技术及应用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社会公益类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15:00-15:30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9</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南疆棉田调水控盐增效关键技术集成与应用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15:30-16:00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10</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新冬55号的选育与推广应用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新疆兵团第一师农业科学研究所</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一师科技局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16:30-17:00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11</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优质西甜瓜新品种选育及高效简约化栽培技术应用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新疆兵团第六师农业科学研究所</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六师科技局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17:00-17:30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向日葵种质创制与新品种选育及应用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17:30-18:00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13</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新疆规模化生产条件下葡萄果实品质调控关键技术研究与应用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18:00-18:30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14</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加工番茄提质增效关键技术研究及应用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18:30-19:00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15</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优质多抗棉花品种新陆中67号的选育与推广</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19:00-19:30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2023年1月12日上午（第一会议室）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16</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玉米病虫草害全程高效防控技术模式研究与示范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社会公益类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兵团农业技术推广总站</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兵团农业农村局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10:00-10:30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17</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优质机采棉新陆中82号的选育与推广</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新疆塔里木河种业股份有限公司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一师科技局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10:30-11:00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18</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早熟丰产棉花新品种新陆早82号、Y21培育及应用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新疆兵团第五师农业科学研究所</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五师科技局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11:00-11:30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19</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谷子系列新品种引育与推广</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新疆兵团第六师农业科学研究所</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六师科技局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11:30-12:00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20</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兵团垦区鲜食葡萄优质高效栽培关键技术集成与推广</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w:t>
            </w:r>
          </w:p>
        </w:tc>
        <w:tc>
          <w:tcPr>
            <w:tcW w:w="215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12:00-12:30</w:t>
            </w:r>
          </w:p>
        </w:tc>
      </w:tr>
    </w:tbl>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2022年度科学技术奖评审答辩时间表（医药卫生组</w:t>
      </w:r>
      <w:r>
        <w:rPr>
          <w:rFonts w:hint="default" w:ascii="Times New Roman" w:hAnsi="Times New Roman" w:eastAsia="方正小标宋_GBK" w:cs="Times New Roman"/>
          <w:sz w:val="36"/>
          <w:szCs w:val="36"/>
          <w:lang w:val="en-US" w:eastAsia="zh-CN"/>
        </w:rPr>
        <w:t>8项</w:t>
      </w:r>
      <w:r>
        <w:rPr>
          <w:rFonts w:hint="default" w:ascii="Times New Roman" w:hAnsi="Times New Roman" w:eastAsia="方正小标宋_GBK" w:cs="Times New Roman"/>
          <w:sz w:val="36"/>
          <w:szCs w:val="36"/>
        </w:rPr>
        <w:t>）</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3177"/>
        <w:gridCol w:w="1443"/>
        <w:gridCol w:w="1443"/>
        <w:gridCol w:w="3497"/>
        <w:gridCol w:w="2154"/>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8" w:space="0"/>
              <w:left w:val="single" w:color="000000" w:sz="8"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序号</w:t>
            </w:r>
          </w:p>
        </w:tc>
        <w:tc>
          <w:tcPr>
            <w:tcW w:w="317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项目名称</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评审类别</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提名等级</w:t>
            </w:r>
          </w:p>
        </w:tc>
        <w:tc>
          <w:tcPr>
            <w:tcW w:w="349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第一完成单位</w:t>
            </w:r>
          </w:p>
        </w:tc>
        <w:tc>
          <w:tcPr>
            <w:tcW w:w="2154"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提名单位</w:t>
            </w:r>
            <w:r>
              <w:rPr>
                <w:rFonts w:hint="default" w:ascii="Times New Roman" w:hAnsi="Times New Roman" w:cs="Times New Roman"/>
                <w:lang w:val="en-US" w:eastAsia="zh-CN"/>
              </w:rPr>
              <w:t>（专家）</w:t>
            </w:r>
          </w:p>
        </w:tc>
        <w:tc>
          <w:tcPr>
            <w:tcW w:w="1719"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答辩时间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2023年1月12日下午（第一会议室）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组织工程技术在椎间盘退变、脊髓损伤及脊柱包虫病治疗中应用的基础研究</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15:30-16:00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没食子治疗黏膜炎症的关键技术创新及其应用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社会公益类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16:30-17:00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3</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新疆边境区域媒介生物区系分布与重要传染病研究与应用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17:00-17:30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4</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子宫颈癌筛查及微创诊疗技术的科技攻关及示范推广应用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石河子大学医学院第一附属医院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17:30-18:00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5</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应用Masquelet技术修复长段骨缺损</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新疆生产建设兵团第一师医院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一师科技局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18:00-18:30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6</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联合超声内镜、放大内镜在上消化道早期癌术前评估中的价值</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新疆生产建设兵团第一师医院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一师科技局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18:30-19:00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7</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聚丙烯新型输液产品优化生产工艺及装备成果转化与应用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新疆华世丹药业股份有限公司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二师科技局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19:00-19:30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8</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纤维支气管镜在儿童大叶性肺炎诊疗中的应用及示范推广</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石河子大学医学院第一附属医院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19:30-20:00</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_GBK" w:cs="Times New Roman"/>
          <w:sz w:val="36"/>
          <w:szCs w:val="44"/>
        </w:rPr>
      </w:pPr>
      <w:r>
        <w:rPr>
          <w:rFonts w:hint="default" w:ascii="Times New Roman" w:hAnsi="Times New Roman" w:eastAsia="方正小标宋_GBK" w:cs="Times New Roman"/>
          <w:sz w:val="36"/>
          <w:szCs w:val="44"/>
        </w:rPr>
        <w:t>202</w:t>
      </w:r>
      <w:r>
        <w:rPr>
          <w:rFonts w:hint="default" w:ascii="Times New Roman" w:hAnsi="Times New Roman" w:eastAsia="方正小标宋_GBK" w:cs="Times New Roman"/>
          <w:sz w:val="36"/>
          <w:szCs w:val="44"/>
          <w:lang w:val="en-US"/>
        </w:rPr>
        <w:t>2</w:t>
      </w:r>
      <w:r>
        <w:rPr>
          <w:rFonts w:hint="default" w:ascii="Times New Roman" w:hAnsi="Times New Roman" w:eastAsia="方正小标宋_GBK" w:cs="Times New Roman"/>
          <w:sz w:val="36"/>
          <w:szCs w:val="44"/>
        </w:rPr>
        <w:t>年兵团科技进步特等奖、突出贡献奖评审答辩时间表</w:t>
      </w:r>
    </w:p>
    <w:tbl>
      <w:tblPr>
        <w:tblStyle w:val="7"/>
        <w:tblW w:w="5000" w:type="pct"/>
        <w:jc w:val="center"/>
        <w:tblLayout w:type="autofit"/>
        <w:tblCellMar>
          <w:top w:w="0" w:type="dxa"/>
          <w:left w:w="108" w:type="dxa"/>
          <w:bottom w:w="0" w:type="dxa"/>
          <w:right w:w="108" w:type="dxa"/>
        </w:tblCellMar>
      </w:tblPr>
      <w:tblGrid>
        <w:gridCol w:w="1033"/>
        <w:gridCol w:w="1343"/>
        <w:gridCol w:w="2552"/>
        <w:gridCol w:w="4912"/>
        <w:gridCol w:w="2218"/>
        <w:gridCol w:w="2162"/>
      </w:tblGrid>
      <w:tr>
        <w:tblPrEx>
          <w:tblCellMar>
            <w:top w:w="0" w:type="dxa"/>
            <w:left w:w="108" w:type="dxa"/>
            <w:bottom w:w="0" w:type="dxa"/>
            <w:right w:w="108" w:type="dxa"/>
          </w:tblCellMar>
        </w:tblPrEx>
        <w:trPr>
          <w:trHeight w:val="519" w:hRule="atLeast"/>
          <w:jc w:val="center"/>
        </w:trPr>
        <w:tc>
          <w:tcPr>
            <w:tcW w:w="1033" w:type="dxa"/>
            <w:tcBorders>
              <w:top w:val="single" w:color="auto" w:sz="8" w:space="0"/>
              <w:left w:val="single" w:color="auto" w:sz="8" w:space="0"/>
              <w:bottom w:val="single" w:color="000000" w:sz="4" w:space="0"/>
              <w:right w:val="single" w:color="000000" w:sz="4" w:space="0"/>
            </w:tcBorders>
            <w:shd w:val="clear" w:color="000000" w:fill="F2F2F2"/>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序号</w:t>
            </w:r>
          </w:p>
        </w:tc>
        <w:tc>
          <w:tcPr>
            <w:tcW w:w="1343" w:type="dxa"/>
            <w:tcBorders>
              <w:top w:val="single" w:color="auto" w:sz="8" w:space="0"/>
              <w:left w:val="nil"/>
              <w:bottom w:val="single" w:color="000000" w:sz="4" w:space="0"/>
              <w:right w:val="single" w:color="000000" w:sz="4" w:space="0"/>
            </w:tcBorders>
            <w:shd w:val="clear" w:color="000000" w:fill="F2F2F2"/>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候选人</w:t>
            </w:r>
          </w:p>
        </w:tc>
        <w:tc>
          <w:tcPr>
            <w:tcW w:w="2552" w:type="dxa"/>
            <w:tcBorders>
              <w:top w:val="single" w:color="auto" w:sz="8" w:space="0"/>
              <w:left w:val="nil"/>
              <w:bottom w:val="single" w:color="000000" w:sz="4" w:space="0"/>
              <w:right w:val="single" w:color="000000" w:sz="4" w:space="0"/>
            </w:tcBorders>
            <w:shd w:val="clear" w:color="000000" w:fill="F2F2F2"/>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奖励类别</w:t>
            </w:r>
          </w:p>
        </w:tc>
        <w:tc>
          <w:tcPr>
            <w:tcW w:w="4912" w:type="dxa"/>
            <w:tcBorders>
              <w:top w:val="single" w:color="auto" w:sz="8" w:space="0"/>
              <w:left w:val="nil"/>
              <w:bottom w:val="single" w:color="000000" w:sz="4" w:space="0"/>
              <w:right w:val="single" w:color="000000" w:sz="4" w:space="0"/>
            </w:tcBorders>
            <w:shd w:val="clear" w:color="000000" w:fill="F2F2F2"/>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工作单位</w:t>
            </w:r>
          </w:p>
        </w:tc>
        <w:tc>
          <w:tcPr>
            <w:tcW w:w="2218" w:type="dxa"/>
            <w:tcBorders>
              <w:top w:val="single" w:color="auto" w:sz="8" w:space="0"/>
              <w:left w:val="nil"/>
              <w:bottom w:val="single" w:color="000000" w:sz="4" w:space="0"/>
              <w:right w:val="single" w:color="000000" w:sz="8" w:space="0"/>
            </w:tcBorders>
            <w:shd w:val="clear" w:color="000000" w:fill="F2F2F2"/>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cs="Times New Roman" w:eastAsiaTheme="minorEastAsia"/>
                <w:lang w:val="en-US" w:eastAsia="zh-CN"/>
              </w:rPr>
              <w:t>提名单位</w:t>
            </w:r>
            <w:r>
              <w:rPr>
                <w:rFonts w:hint="default" w:ascii="Times New Roman" w:hAnsi="Times New Roman" w:cs="Times New Roman"/>
                <w:lang w:val="en-US" w:eastAsia="zh-CN"/>
              </w:rPr>
              <w:t>（专家）</w:t>
            </w:r>
          </w:p>
        </w:tc>
        <w:tc>
          <w:tcPr>
            <w:tcW w:w="2162" w:type="dxa"/>
            <w:tcBorders>
              <w:top w:val="single" w:color="auto" w:sz="8" w:space="0"/>
              <w:left w:val="nil"/>
              <w:bottom w:val="single" w:color="000000" w:sz="4" w:space="0"/>
              <w:right w:val="single" w:color="auto" w:sz="8" w:space="0"/>
            </w:tcBorders>
            <w:shd w:val="clear" w:color="000000" w:fill="F2F2F2"/>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答辩时间</w:t>
            </w:r>
          </w:p>
        </w:tc>
      </w:tr>
      <w:tr>
        <w:tblPrEx>
          <w:tblCellMar>
            <w:top w:w="0" w:type="dxa"/>
            <w:left w:w="108" w:type="dxa"/>
            <w:bottom w:w="0" w:type="dxa"/>
            <w:right w:w="108" w:type="dxa"/>
          </w:tblCellMar>
        </w:tblPrEx>
        <w:trPr>
          <w:trHeight w:val="519" w:hRule="atLeast"/>
          <w:jc w:val="center"/>
        </w:trPr>
        <w:tc>
          <w:tcPr>
            <w:tcW w:w="14220" w:type="dxa"/>
            <w:gridSpan w:val="6"/>
            <w:tcBorders>
              <w:top w:val="single" w:color="auto" w:sz="8" w:space="0"/>
              <w:left w:val="single" w:color="auto" w:sz="8" w:space="0"/>
              <w:bottom w:val="single" w:color="000000" w:sz="4" w:space="0"/>
              <w:right w:val="single" w:color="auto" w:sz="8" w:space="0"/>
            </w:tcBorders>
            <w:shd w:val="clear" w:color="000000" w:fill="auto"/>
            <w:vAlign w:val="center"/>
          </w:tcPr>
          <w:p>
            <w:pPr>
              <w:widowControl/>
              <w:jc w:val="center"/>
              <w:rPr>
                <w:rFonts w:hint="default" w:ascii="Times New Roman" w:hAnsi="Times New Roman" w:eastAsia="方正小标宋_GBK" w:cs="Times New Roman"/>
                <w:color w:val="000000"/>
                <w:kern w:val="0"/>
                <w:sz w:val="28"/>
                <w:szCs w:val="28"/>
              </w:rPr>
            </w:pPr>
            <w:r>
              <w:rPr>
                <w:rFonts w:hint="default" w:ascii="Times New Roman" w:hAnsi="Times New Roman" w:eastAsia="方正小标宋_GBK" w:cs="Times New Roman"/>
                <w:color w:val="000000"/>
                <w:kern w:val="0"/>
                <w:sz w:val="28"/>
                <w:szCs w:val="28"/>
                <w:lang w:val="en-US" w:eastAsia="zh-CN"/>
              </w:rPr>
              <w:t>2023年1月13日上午（第一会议室）</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石国庆</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特等奖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新疆农垦科学院</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rPr>
              <w:t>新疆农垦科学院</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kern w:val="0"/>
                <w:sz w:val="21"/>
                <w:szCs w:val="21"/>
                <w:lang w:val="en-US" w:bidi="ar"/>
              </w:rPr>
              <w:t>10</w:t>
            </w:r>
            <w:r>
              <w:rPr>
                <w:rFonts w:hint="default" w:ascii="Times New Roman" w:hAnsi="Times New Roman" w:eastAsia="宋体" w:cs="Times New Roman"/>
                <w:color w:val="000000"/>
                <w:kern w:val="0"/>
                <w:sz w:val="21"/>
                <w:szCs w:val="21"/>
                <w:lang w:bidi="ar"/>
              </w:rPr>
              <w:t>:</w:t>
            </w:r>
            <w:r>
              <w:rPr>
                <w:rFonts w:hint="default" w:ascii="Times New Roman" w:hAnsi="Times New Roman" w:eastAsia="宋体" w:cs="Times New Roman"/>
                <w:color w:val="000000"/>
                <w:kern w:val="0"/>
                <w:sz w:val="21"/>
                <w:szCs w:val="21"/>
                <w:lang w:val="en-US" w:bidi="ar"/>
              </w:rPr>
              <w:t>40</w:t>
            </w:r>
            <w:r>
              <w:rPr>
                <w:rFonts w:hint="default" w:ascii="Times New Roman" w:hAnsi="Times New Roman" w:eastAsia="宋体" w:cs="Times New Roman"/>
                <w:color w:val="000000"/>
                <w:kern w:val="0"/>
                <w:sz w:val="21"/>
                <w:szCs w:val="21"/>
                <w:lang w:bidi="ar"/>
              </w:rPr>
              <w:t>-11:</w:t>
            </w:r>
            <w:r>
              <w:rPr>
                <w:rFonts w:hint="default" w:ascii="Times New Roman" w:hAnsi="Times New Roman" w:eastAsia="宋体" w:cs="Times New Roman"/>
                <w:color w:val="000000"/>
                <w:kern w:val="0"/>
                <w:sz w:val="21"/>
                <w:szCs w:val="21"/>
                <w:lang w:val="en-US" w:bidi="ar"/>
              </w:rPr>
              <w:t>00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尹飞虎</w:t>
            </w:r>
          </w:p>
        </w:tc>
        <w:tc>
          <w:tcPr>
            <w:tcW w:w="25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特等奖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新疆农垦科学院</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新疆农垦科学院</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11:00-11:20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容新民</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石河子农业科学研究院</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八师科技局</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11:20-11:40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袁立岗</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新疆兵团第十二师畜牧兽医工作站</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十二师科技局</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11:40-12:00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马克涛</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石河子大学</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石河子大学</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12:00-12:20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黄瑾</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石河子大学</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石河子大学</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12:20-12:40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王振华</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石河子大学</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石河子大学</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12:40-13:00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万素梅</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塔里木大学</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塔里木大学</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13:00-13:20</w:t>
            </w:r>
          </w:p>
        </w:tc>
      </w:tr>
      <w:tr>
        <w:tblPrEx>
          <w:tblCellMar>
            <w:top w:w="0" w:type="dxa"/>
            <w:left w:w="108" w:type="dxa"/>
            <w:bottom w:w="0" w:type="dxa"/>
            <w:right w:w="108" w:type="dxa"/>
          </w:tblCellMar>
        </w:tblPrEx>
        <w:trPr>
          <w:trHeight w:val="519" w:hRule="atLeast"/>
          <w:jc w:val="center"/>
        </w:trPr>
        <w:tc>
          <w:tcPr>
            <w:tcW w:w="1033" w:type="dxa"/>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w:t>
            </w:r>
          </w:p>
        </w:tc>
        <w:tc>
          <w:tcPr>
            <w:tcW w:w="13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洪雪梅</w:t>
            </w:r>
          </w:p>
        </w:tc>
        <w:tc>
          <w:tcPr>
            <w:tcW w:w="255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突出贡献奖</w:t>
            </w:r>
          </w:p>
        </w:tc>
        <w:tc>
          <w:tcPr>
            <w:tcW w:w="49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石河子农业科学研究院</w:t>
            </w:r>
          </w:p>
        </w:tc>
        <w:tc>
          <w:tcPr>
            <w:tcW w:w="22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李保成</w:t>
            </w:r>
          </w:p>
        </w:tc>
        <w:tc>
          <w:tcPr>
            <w:tcW w:w="2162" w:type="dxa"/>
            <w:tcBorders>
              <w:top w:val="single" w:color="000000" w:sz="4" w:space="0"/>
              <w:left w:val="nil"/>
              <w:bottom w:val="single" w:color="000000" w:sz="4" w:space="0"/>
              <w:right w:val="single" w:color="auto" w:sz="8" w:space="0"/>
            </w:tcBorders>
            <w:vAlign w:val="center"/>
          </w:tcPr>
          <w:p>
            <w:pPr>
              <w:widowControl/>
              <w:adjustRightInd w:val="0"/>
              <w:snapToGrid w:val="0"/>
              <w:spacing w:line="288"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13:20-13:40</w:t>
            </w:r>
          </w:p>
        </w:tc>
      </w:tr>
    </w:tbl>
    <w:p>
      <w:pPr>
        <w:rPr>
          <w:rFonts w:hint="default" w:ascii="Times New Roman" w:hAnsi="Times New Roman" w:eastAsia="宋体" w:cs="Times New Roman"/>
          <w:szCs w:val="2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2022年度科学技术奖评审答辩时间表（工业</w:t>
      </w:r>
      <w:r>
        <w:rPr>
          <w:rFonts w:hint="default" w:ascii="Times New Roman" w:hAnsi="Times New Roman" w:eastAsia="方正小标宋_GBK" w:cs="Times New Roman"/>
          <w:sz w:val="36"/>
          <w:szCs w:val="36"/>
          <w:lang w:eastAsia="zh-CN"/>
        </w:rPr>
        <w:t>一</w:t>
      </w:r>
      <w:r>
        <w:rPr>
          <w:rFonts w:hint="default" w:ascii="Times New Roman" w:hAnsi="Times New Roman" w:eastAsia="方正小标宋_GBK" w:cs="Times New Roman"/>
          <w:sz w:val="36"/>
          <w:szCs w:val="36"/>
        </w:rPr>
        <w:t>组</w:t>
      </w:r>
      <w:r>
        <w:rPr>
          <w:rFonts w:hint="default" w:ascii="Times New Roman" w:hAnsi="Times New Roman" w:eastAsia="方正小标宋_GBK" w:cs="Times New Roman"/>
          <w:sz w:val="36"/>
          <w:szCs w:val="36"/>
          <w:lang w:val="en-US" w:eastAsia="zh-CN"/>
        </w:rPr>
        <w:t>11项</w:t>
      </w:r>
      <w:r>
        <w:rPr>
          <w:rFonts w:hint="default" w:ascii="Times New Roman" w:hAnsi="Times New Roman" w:eastAsia="方正小标宋_GBK" w:cs="Times New Roman"/>
          <w:sz w:val="36"/>
          <w:szCs w:val="36"/>
        </w:rPr>
        <w:t>）</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3285"/>
        <w:gridCol w:w="1443"/>
        <w:gridCol w:w="1443"/>
        <w:gridCol w:w="3497"/>
        <w:gridCol w:w="2154"/>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8" w:space="0"/>
              <w:left w:val="single" w:color="000000" w:sz="8"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序号</w:t>
            </w:r>
          </w:p>
        </w:tc>
        <w:tc>
          <w:tcPr>
            <w:tcW w:w="3285"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项目名称</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评审类别</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提名等级</w:t>
            </w:r>
          </w:p>
        </w:tc>
        <w:tc>
          <w:tcPr>
            <w:tcW w:w="349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第一完成单位</w:t>
            </w:r>
          </w:p>
        </w:tc>
        <w:tc>
          <w:tcPr>
            <w:tcW w:w="2154"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提名单位</w:t>
            </w:r>
            <w:r>
              <w:rPr>
                <w:rFonts w:hint="default" w:ascii="Times New Roman" w:hAnsi="Times New Roman" w:cs="Times New Roman"/>
                <w:lang w:val="en-US" w:eastAsia="zh-CN"/>
              </w:rPr>
              <w:t>（专家）</w:t>
            </w:r>
          </w:p>
        </w:tc>
        <w:tc>
          <w:tcPr>
            <w:tcW w:w="1719"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答辩时间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2023年1月11日上午（第二会议室）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电石乙炔法制氯乙烯金催化机理及构效关系研究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10:30-11:00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生物质基吸附材料的设计制备及其污染物高效脱除研究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碳杂键与杂环骨架的绿色构建方法研究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蛭石基无铅热稳定剂关键技术</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技术发明奖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乙炔法聚氯乙烯全废渣新型干法制水泥关键技术与产业化应用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新疆天业（集团）有限公司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八师科技局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12:30-13:00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含碳固废制备新型炭材料关键技术与应用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13:00-13:30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复杂条件下高混凝土面板砂砾石坝建设关键技术及应用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新疆兵团勘测设计院（集团）有限责任公司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兵团国有资产监督管理委员会</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13:30-14:00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2023年1月11日下午（第二会议室）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燃煤烟气多污染物高效控制协同节水减排技术</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新疆天富能源股份有限公司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八师科技局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15:00-15:30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高烈度寒区装配式钢结构建筑体系关键技术研究及应用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15:30-16:00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eastAsiaTheme="minorEastAsia"/>
                <w:spacing w:val="-4"/>
                <w:sz w:val="21"/>
              </w:rPr>
            </w:pPr>
            <w:r>
              <w:rPr>
                <w:rFonts w:hint="default" w:ascii="Times New Roman" w:hAnsi="Times New Roman" w:cs="Times New Roman" w:eastAsiaTheme="minorEastAsia"/>
                <w:spacing w:val="-4"/>
                <w:sz w:val="21"/>
                <w:lang w:val="en-US" w:eastAsia="zh-CN"/>
              </w:rPr>
              <w:t>基于多模态融合的高速公路施工安全智能管理关键技术研究与应用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新疆北新路桥集团股份有限公司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十一师科技局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16:00-16:30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679"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w:t>
            </w:r>
          </w:p>
        </w:tc>
        <w:tc>
          <w:tcPr>
            <w:tcW w:w="3285"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spacing w:val="-8"/>
                <w:sz w:val="21"/>
                <w:lang w:val="en-US" w:eastAsia="zh-CN"/>
              </w:rPr>
              <w:t>深厚覆盖层探测技术及工程特性研究在地下连续墙优化设计中的应用</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技术转化类</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新疆兵团勘测设计院（集团）有限责任公司</w:t>
            </w:r>
          </w:p>
        </w:tc>
        <w:tc>
          <w:tcPr>
            <w:tcW w:w="215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新疆兵团国有资产监督管理委员会</w:t>
            </w:r>
          </w:p>
        </w:tc>
        <w:tc>
          <w:tcPr>
            <w:tcW w:w="171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16:30-17:00</w:t>
            </w:r>
          </w:p>
        </w:tc>
      </w:tr>
    </w:tbl>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2022年度科学技术奖评审答辩时间表（工业</w:t>
      </w:r>
      <w:r>
        <w:rPr>
          <w:rFonts w:hint="default" w:ascii="Times New Roman" w:hAnsi="Times New Roman" w:eastAsia="方正小标宋_GBK" w:cs="Times New Roman"/>
          <w:sz w:val="36"/>
          <w:szCs w:val="36"/>
          <w:lang w:eastAsia="zh-CN"/>
        </w:rPr>
        <w:t>二</w:t>
      </w:r>
      <w:r>
        <w:rPr>
          <w:rFonts w:hint="default" w:ascii="Times New Roman" w:hAnsi="Times New Roman" w:eastAsia="方正小标宋_GBK" w:cs="Times New Roman"/>
          <w:sz w:val="36"/>
          <w:szCs w:val="36"/>
        </w:rPr>
        <w:t>组</w:t>
      </w:r>
      <w:r>
        <w:rPr>
          <w:rFonts w:hint="default" w:ascii="Times New Roman" w:hAnsi="Times New Roman" w:eastAsia="方正小标宋_GBK" w:cs="Times New Roman"/>
          <w:sz w:val="36"/>
          <w:szCs w:val="36"/>
          <w:lang w:val="en-US" w:eastAsia="zh-CN"/>
        </w:rPr>
        <w:t>12项</w:t>
      </w:r>
      <w:r>
        <w:rPr>
          <w:rFonts w:hint="default" w:ascii="Times New Roman" w:hAnsi="Times New Roman" w:eastAsia="方正小标宋_GBK" w:cs="Times New Roman"/>
          <w:sz w:val="36"/>
          <w:szCs w:val="36"/>
        </w:rPr>
        <w:t>）</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3177"/>
        <w:gridCol w:w="1443"/>
        <w:gridCol w:w="1443"/>
        <w:gridCol w:w="3497"/>
        <w:gridCol w:w="2154"/>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8" w:space="0"/>
              <w:left w:val="single" w:color="000000" w:sz="8"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序号</w:t>
            </w:r>
          </w:p>
        </w:tc>
        <w:tc>
          <w:tcPr>
            <w:tcW w:w="317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项目名称</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评审类别</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提名等级</w:t>
            </w:r>
          </w:p>
        </w:tc>
        <w:tc>
          <w:tcPr>
            <w:tcW w:w="349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第一完成单位</w:t>
            </w:r>
          </w:p>
        </w:tc>
        <w:tc>
          <w:tcPr>
            <w:tcW w:w="2154"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提名单位</w:t>
            </w:r>
            <w:r>
              <w:rPr>
                <w:rFonts w:hint="default" w:ascii="Times New Roman" w:hAnsi="Times New Roman" w:cs="Times New Roman"/>
                <w:lang w:val="en-US" w:eastAsia="zh-CN"/>
              </w:rPr>
              <w:t>（专家）</w:t>
            </w:r>
          </w:p>
        </w:tc>
        <w:tc>
          <w:tcPr>
            <w:tcW w:w="1719"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答辩时间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2023年1月12日上午（第二会议室）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新疆乳源原生益生菌环境胁迫抗性及健康促进特性研究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10:30-11:00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一种复配型奶啤发酵剂的制备与应用技术</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技术发明奖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新疆天润生物科技股份有限公司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十二师科技局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3</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矮化密植枣园机械化生产关键技术与装备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技术发明奖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4</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农田耕层残膜污染治理关键技术及装备研发与应用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技术发明奖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5</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智慧科普关键技术创新与规模化应用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社会公益类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12:30-13:00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6</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番茄系列产品开发关键生产技术集成及产业化示范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新疆冠农果茸股份有限公司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二师科技局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13:00-13:30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7</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新疆平作花生精量播种与分段收获关键技术及装备研发与应用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新疆农垦科学院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13:30-14:00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2023年1月12日下午（第二会议室）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8</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精量施肥关键技术与装备研发和应用示范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15:00-15:30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9</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内陆流域地表水与地下水相互作用机制关键技术研发与应用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15:30-16:00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10</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厌氧己酸功能菌液的研究和应用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新疆伊力特实业股份有限公司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四师科技局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16:00-16:30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J14.6纱线质量提升技术创新及应用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三等奖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新疆仁和纺织科技有限公司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七师科技局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16:30-17:00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分布式光伏与储能关键技术研发及示范</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科技进步奖</w:t>
            </w:r>
          </w:p>
          <w:p>
            <w:pPr>
              <w:jc w:val="center"/>
              <w:rPr>
                <w:rFonts w:hint="default" w:ascii="Times New Roman" w:hAnsi="Times New Roman" w:cs="Times New Roman"/>
              </w:rPr>
            </w:pPr>
            <w:r>
              <w:rPr>
                <w:rFonts w:hint="default" w:ascii="Times New Roman" w:hAnsi="Times New Roman" w:cs="Times New Roman"/>
                <w:lang w:val="en-US" w:eastAsia="zh-CN"/>
              </w:rPr>
              <w:t>研究开发类</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新疆希望电子有限公司</w:t>
            </w:r>
          </w:p>
        </w:tc>
        <w:tc>
          <w:tcPr>
            <w:tcW w:w="2154"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十二师科技局</w:t>
            </w:r>
          </w:p>
        </w:tc>
        <w:tc>
          <w:tcPr>
            <w:tcW w:w="171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17:00-17:30</w:t>
            </w:r>
          </w:p>
        </w:tc>
      </w:tr>
    </w:tbl>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2022年度科学技术奖评审答辩时间表（养殖业组</w:t>
      </w:r>
      <w:r>
        <w:rPr>
          <w:rFonts w:hint="default" w:ascii="Times New Roman" w:hAnsi="Times New Roman" w:eastAsia="方正小标宋_GBK" w:cs="Times New Roman"/>
          <w:sz w:val="36"/>
          <w:szCs w:val="36"/>
          <w:lang w:val="en-US" w:eastAsia="zh-CN"/>
        </w:rPr>
        <w:t>9项</w:t>
      </w:r>
      <w:r>
        <w:rPr>
          <w:rFonts w:hint="default" w:ascii="Times New Roman" w:hAnsi="Times New Roman" w:eastAsia="方正小标宋_GBK" w:cs="Times New Roman"/>
          <w:sz w:val="36"/>
          <w:szCs w:val="36"/>
        </w:rPr>
        <w:t>）</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3177"/>
        <w:gridCol w:w="1443"/>
        <w:gridCol w:w="1443"/>
        <w:gridCol w:w="3497"/>
        <w:gridCol w:w="2154"/>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8" w:space="0"/>
              <w:left w:val="single" w:color="000000" w:sz="8"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序号</w:t>
            </w:r>
          </w:p>
        </w:tc>
        <w:tc>
          <w:tcPr>
            <w:tcW w:w="317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项目名称</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评审类别</w:t>
            </w:r>
          </w:p>
        </w:tc>
        <w:tc>
          <w:tcPr>
            <w:tcW w:w="1443"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提名等级</w:t>
            </w:r>
          </w:p>
        </w:tc>
        <w:tc>
          <w:tcPr>
            <w:tcW w:w="3497"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第一完成单位</w:t>
            </w:r>
          </w:p>
        </w:tc>
        <w:tc>
          <w:tcPr>
            <w:tcW w:w="2154"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提名单位</w:t>
            </w:r>
            <w:r>
              <w:rPr>
                <w:rFonts w:hint="default" w:ascii="Times New Roman" w:hAnsi="Times New Roman" w:cs="Times New Roman"/>
                <w:lang w:val="en-US" w:eastAsia="zh-CN"/>
              </w:rPr>
              <w:t>（专家）</w:t>
            </w:r>
          </w:p>
        </w:tc>
        <w:tc>
          <w:tcPr>
            <w:tcW w:w="1719" w:type="dxa"/>
            <w:tcBorders>
              <w:top w:val="single" w:color="000000" w:sz="8" w:space="0"/>
              <w:left w:val="single" w:color="000000" w:sz="4" w:space="0"/>
              <w:bottom w:val="single" w:color="000000" w:sz="4" w:space="0"/>
              <w:right w:val="single" w:color="000000" w:sz="4" w:space="0"/>
            </w:tcBorders>
            <w:shd w:val="clear" w:color="auto" w:fill="F2F2F2"/>
            <w:noWrap/>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答辩时间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4220" w:type="dxa"/>
            <w:gridSpan w:val="7"/>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28"/>
                <w:szCs w:val="28"/>
                <w:lang w:val="en-US" w:eastAsia="zh-CN"/>
              </w:rPr>
              <w:t>2023年1月13日上午（第二会议室）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1</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新疆绵羊环境适应性及抗肺炎支原体的免疫遗传机制研究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10</w:t>
            </w:r>
            <w:r>
              <w:rPr>
                <w:rFonts w:hint="default" w:ascii="Times New Roman" w:hAnsi="Times New Roman" w:cs="Times New Roman" w:eastAsiaTheme="minorEastAsia"/>
                <w:lang w:val="en-US" w:eastAsia="zh-CN"/>
              </w:rPr>
              <w:t>:00-</w:t>
            </w:r>
            <w:r>
              <w:rPr>
                <w:rFonts w:hint="default" w:ascii="Times New Roman" w:hAnsi="Times New Roman" w:cs="Times New Roman"/>
                <w:lang w:val="en-US" w:eastAsia="zh-CN"/>
              </w:rPr>
              <w:t>10</w:t>
            </w:r>
            <w:r>
              <w:rPr>
                <w:rFonts w:hint="default" w:ascii="Times New Roman" w:hAnsi="Times New Roman" w:cs="Times New Roman" w:eastAsiaTheme="minorEastAsia"/>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2</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精氨酸调控反刍动物氮素利用与机体免疫关键机制的研究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10:30-11:00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3</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益母草碱、甘草多糖调控鸡免疫和抗氧化功能的机制研究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4</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塔里木兔适应干旱环境的水保留机制研究</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自然科学奖</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11:30-12:00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5</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羊精液低温长效保存关键技术创新与产业化应用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一等奖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塔里木大学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塔里木大学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6</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额尔齐斯河流域蚊蚋高效安全防控技术集成与示范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新疆兵团第十师农业科学研究所</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十师科技局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12:30-13:00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7</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奶牛高效扩繁及保健关键配套技术研究应用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新疆农垦科学院</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新疆农垦科学院</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13:00-13:30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8</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放牧绵羊营养均衡供给关键技术研究与应用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研究开发类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二等奖</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石河子大学</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石河子大学</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lang w:val="en-US" w:eastAsia="zh-CN"/>
              </w:rPr>
              <w:t>13:30-14:00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9</w:t>
            </w:r>
          </w:p>
        </w:tc>
        <w:tc>
          <w:tcPr>
            <w:tcW w:w="317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优质后备牛主要疫病综合防控技术的示范与推广</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科技进步奖</w:t>
            </w:r>
          </w:p>
          <w:p>
            <w:pPr>
              <w:jc w:val="center"/>
              <w:rPr>
                <w:rFonts w:hint="default" w:ascii="Times New Roman" w:hAnsi="Times New Roman" w:cs="Times New Roman"/>
              </w:rPr>
            </w:pPr>
            <w:r>
              <w:rPr>
                <w:rFonts w:hint="default" w:ascii="Times New Roman" w:hAnsi="Times New Roman" w:cs="Times New Roman" w:eastAsiaTheme="minorEastAsia"/>
                <w:lang w:val="en-US" w:eastAsia="zh-CN"/>
              </w:rPr>
              <w:t>技术转化类</w:t>
            </w:r>
          </w:p>
        </w:tc>
        <w:tc>
          <w:tcPr>
            <w:tcW w:w="1443"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eastAsiaTheme="minorEastAsia"/>
                <w:lang w:val="en-US" w:eastAsia="zh-CN"/>
              </w:rPr>
              <w:t>三等奖</w:t>
            </w:r>
          </w:p>
        </w:tc>
        <w:tc>
          <w:tcPr>
            <w:tcW w:w="3497"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eastAsiaTheme="minorEastAsia"/>
                <w:lang w:val="en-US" w:eastAsia="zh-CN"/>
              </w:rPr>
              <w:t>新疆天澳牧业有限公司</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lang w:val="en-US" w:eastAsia="zh-CN"/>
              </w:rPr>
              <w:t>十二师科技局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rPr>
            </w:pPr>
            <w:r>
              <w:rPr>
                <w:rFonts w:hint="default" w:ascii="Times New Roman" w:hAnsi="Times New Roman" w:cs="Times New Roman"/>
                <w:lang w:val="en-US" w:eastAsia="zh-CN"/>
              </w:rPr>
              <w:t>14:00-14:30</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GE3N2IxYmU0Njg2Y2U0MjAyNjg4Nzg1ZGQ1MTQifQ=="/>
  </w:docVars>
  <w:rsids>
    <w:rsidRoot w:val="18872167"/>
    <w:rsid w:val="10186FF8"/>
    <w:rsid w:val="17C76856"/>
    <w:rsid w:val="18872167"/>
    <w:rsid w:val="1FE126E5"/>
    <w:rsid w:val="213659EE"/>
    <w:rsid w:val="2241392C"/>
    <w:rsid w:val="2E096765"/>
    <w:rsid w:val="324D42BC"/>
    <w:rsid w:val="3D525F3C"/>
    <w:rsid w:val="47123F67"/>
    <w:rsid w:val="4B934D7B"/>
    <w:rsid w:val="52C65E62"/>
    <w:rsid w:val="740B0ADD"/>
    <w:rsid w:val="79E813EC"/>
    <w:rsid w:val="7D3D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spacing w:line="520" w:lineRule="exact"/>
      <w:ind w:left="420" w:leftChars="200"/>
    </w:pPr>
    <w:rPr>
      <w:rFonts w:ascii="仿宋_GB2312" w:hAnsi="仿宋_GB2312" w:eastAsia="仿宋_GB2312"/>
      <w:sz w:val="24"/>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rFonts w:ascii="方正小标宋_GBK" w:hAnsi="方正小标宋_GBK" w:eastAsia="方正小标宋_GBK"/>
      <w:sz w:val="30"/>
      <w:szCs w:val="22"/>
    </w:rPr>
  </w:style>
  <w:style w:type="paragraph" w:styleId="6">
    <w:name w:val="toc 2"/>
    <w:basedOn w:val="1"/>
    <w:next w:val="1"/>
    <w:qFormat/>
    <w:uiPriority w:val="0"/>
    <w:pPr>
      <w:spacing w:line="360" w:lineRule="auto"/>
      <w:ind w:left="0" w:leftChars="0"/>
    </w:pPr>
    <w:rPr>
      <w:rFonts w:eastAsia="仿宋_GB2312" w:asciiTheme="minorAscii" w:hAnsiTheme="minorAscii"/>
      <w:sz w:val="24"/>
      <w:szCs w:val="22"/>
    </w:rPr>
  </w:style>
  <w:style w:type="character" w:customStyle="1" w:styleId="9">
    <w:name w:val="font11"/>
    <w:basedOn w:val="8"/>
    <w:qFormat/>
    <w:uiPriority w:val="0"/>
    <w:rPr>
      <w:rFonts w:hint="eastAsia" w:ascii="宋体" w:hAnsi="宋体" w:eastAsia="宋体" w:cs="宋体"/>
      <w:color w:val="000000"/>
      <w:sz w:val="22"/>
      <w:szCs w:val="22"/>
      <w:u w:val="none"/>
    </w:rPr>
  </w:style>
  <w:style w:type="character" w:customStyle="1" w:styleId="10">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3619</Words>
  <Characters>4411</Characters>
  <Lines>0</Lines>
  <Paragraphs>0</Paragraphs>
  <TotalTime>78</TotalTime>
  <ScaleCrop>false</ScaleCrop>
  <LinksUpToDate>false</LinksUpToDate>
  <CharactersWithSpaces>4411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2022-12-15T09:36:00Z</dcterms:created>
  <dc:creator>zhaoxl</dc:creator>
  <cp:lastModifiedBy>yanan_2</cp:lastModifiedBy>
  <dcterms:modified xsi:type="dcterms:W3CDTF">2023-01-04T10:28:05Z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DAB875D56A0E4823B1F733CE6D2634C2</vt:lpwstr>
  </property>
</Properties>
</file>